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82" w:rsidRDefault="00680182" w:rsidP="00680182">
      <w:pPr>
        <w:jc w:val="center"/>
      </w:pPr>
      <w:r w:rsidRPr="00611C26">
        <w:rPr>
          <w:rFonts w:cs="新細明體" w:hint="eastAsia"/>
          <w:sz w:val="32"/>
          <w:szCs w:val="32"/>
        </w:rPr>
        <w:t>民法親屬</w:t>
      </w:r>
    </w:p>
    <w:p w:rsidR="00680182" w:rsidRDefault="00680182" w:rsidP="00680182">
      <w:pPr>
        <w:jc w:val="center"/>
      </w:pPr>
      <w:r>
        <w:rPr>
          <w:rFonts w:cs="新細明體" w:hint="eastAsia"/>
        </w:rPr>
        <w:t>期中考</w:t>
      </w:r>
      <w:r w:rsidRPr="00611C26">
        <w:t>2014/11</w:t>
      </w:r>
    </w:p>
    <w:p w:rsidR="00680182" w:rsidRDefault="00680182" w:rsidP="00680182">
      <w:pPr>
        <w:ind w:left="480" w:hangingChars="200" w:hanging="480"/>
        <w:jc w:val="both"/>
        <w:rPr>
          <w:rFonts w:hint="eastAsia"/>
        </w:rPr>
      </w:pPr>
    </w:p>
    <w:p w:rsidR="00680182" w:rsidRDefault="00680182" w:rsidP="00680182">
      <w:pPr>
        <w:ind w:left="480" w:hangingChars="200" w:hanging="480"/>
        <w:jc w:val="both"/>
        <w:rPr>
          <w:rFonts w:hint="eastAsia"/>
        </w:rPr>
      </w:pPr>
    </w:p>
    <w:p w:rsidR="00680182" w:rsidRPr="00214C78" w:rsidRDefault="00680182" w:rsidP="00680182">
      <w:pPr>
        <w:pStyle w:val="ListParagraph"/>
        <w:numPr>
          <w:ilvl w:val="0"/>
          <w:numId w:val="1"/>
        </w:numPr>
        <w:ind w:leftChars="0"/>
        <w:jc w:val="both"/>
        <w:rPr>
          <w:rFonts w:cs="Times New Roman" w:hint="eastAsia"/>
        </w:rPr>
      </w:pPr>
      <w:r w:rsidRPr="00385789">
        <w:rPr>
          <w:rFonts w:cs="新細明體" w:hint="eastAsia"/>
        </w:rPr>
        <w:t>Ａ、Ｂ</w:t>
      </w:r>
      <w:r>
        <w:rPr>
          <w:rFonts w:cs="新細明體" w:hint="eastAsia"/>
        </w:rPr>
        <w:t>之母親為姊妹，</w:t>
      </w:r>
      <w:r w:rsidRPr="00385789">
        <w:rPr>
          <w:rFonts w:cs="新細明體" w:hint="eastAsia"/>
        </w:rPr>
        <w:t>Ａ之子甲與Ｂ之子乙年紀相仿，感情甚佳。甲與丙結婚後，因時有口角，乙常充當和事佬。嗣後，乙、丙因認識而感情越來越好，甲、丙則因瞭解而感情越來越差，尤其當甲發現乙、丙的戀情</w:t>
      </w:r>
      <w:r>
        <w:rPr>
          <w:rFonts w:cs="新細明體" w:hint="eastAsia"/>
        </w:rPr>
        <w:t>之</w:t>
      </w:r>
      <w:r w:rsidRPr="00385789">
        <w:rPr>
          <w:rFonts w:cs="新細明體" w:hint="eastAsia"/>
        </w:rPr>
        <w:t>後</w:t>
      </w:r>
      <w:r>
        <w:rPr>
          <w:rFonts w:cs="新細明體" w:hint="eastAsia"/>
        </w:rPr>
        <w:t>，</w:t>
      </w:r>
      <w:r w:rsidRPr="00385789">
        <w:rPr>
          <w:rFonts w:cs="新細明體" w:hint="eastAsia"/>
        </w:rPr>
        <w:t>因</w:t>
      </w:r>
      <w:r>
        <w:rPr>
          <w:rFonts w:cs="新細明體" w:hint="eastAsia"/>
        </w:rPr>
        <w:t>憤怒</w:t>
      </w:r>
      <w:r w:rsidRPr="00385789">
        <w:rPr>
          <w:rFonts w:cs="新細明體" w:hint="eastAsia"/>
        </w:rPr>
        <w:t>而</w:t>
      </w:r>
      <w:r>
        <w:rPr>
          <w:rFonts w:cs="新細明體" w:hint="eastAsia"/>
        </w:rPr>
        <w:t>身體</w:t>
      </w:r>
      <w:r w:rsidRPr="00385789">
        <w:rPr>
          <w:rFonts w:cs="新細明體" w:hint="eastAsia"/>
        </w:rPr>
        <w:t>日益衰弱。請具</w:t>
      </w:r>
      <w:r>
        <w:rPr>
          <w:rFonts w:cs="新細明體" w:hint="eastAsia"/>
        </w:rPr>
        <w:t>法條與</w:t>
      </w:r>
      <w:r w:rsidRPr="00385789">
        <w:rPr>
          <w:rFonts w:cs="新細明體" w:hint="eastAsia"/>
        </w:rPr>
        <w:t>理由分析</w:t>
      </w:r>
      <w:r>
        <w:rPr>
          <w:rFonts w:cs="新細明體" w:hint="eastAsia"/>
        </w:rPr>
        <w:t>下列問題</w:t>
      </w:r>
      <w:r w:rsidRPr="00385789">
        <w:rPr>
          <w:rFonts w:cs="新細明體" w:hint="eastAsia"/>
        </w:rPr>
        <w:t>：</w:t>
      </w:r>
      <w:r>
        <w:rPr>
          <w:rFonts w:hint="eastAsia"/>
        </w:rPr>
        <w:t>(30%)</w:t>
      </w:r>
    </w:p>
    <w:p w:rsidR="00680182" w:rsidRDefault="00680182" w:rsidP="00680182">
      <w:pPr>
        <w:pStyle w:val="ListParagraph"/>
        <w:ind w:leftChars="0" w:left="0" w:firstLineChars="200" w:firstLine="480"/>
        <w:jc w:val="both"/>
        <w:rPr>
          <w:rFonts w:cs="Times New Roman"/>
        </w:rPr>
      </w:pPr>
      <w:r w:rsidRPr="00385789">
        <w:rPr>
          <w:rFonts w:cs="新細明體" w:hint="eastAsia"/>
        </w:rPr>
        <w:t>（一）</w:t>
      </w:r>
      <w:r>
        <w:rPr>
          <w:rFonts w:cs="新細明體" w:hint="eastAsia"/>
        </w:rPr>
        <w:t>、</w:t>
      </w:r>
      <w:r w:rsidRPr="00385789">
        <w:rPr>
          <w:rFonts w:cs="新細明體" w:hint="eastAsia"/>
        </w:rPr>
        <w:t>若甲、丙離婚，乙、丙可否結婚？</w:t>
      </w:r>
    </w:p>
    <w:p w:rsidR="00680182" w:rsidRDefault="00680182" w:rsidP="00680182">
      <w:pPr>
        <w:pStyle w:val="ListParagraph"/>
        <w:ind w:leftChars="0" w:left="450"/>
        <w:jc w:val="both"/>
        <w:rPr>
          <w:rFonts w:cs="Times New Roman"/>
        </w:rPr>
      </w:pPr>
      <w:r>
        <w:rPr>
          <w:rFonts w:cs="新細明體" w:hint="eastAsia"/>
        </w:rPr>
        <w:t>（二）、若甲未及離婚，即抑鬱死亡，</w:t>
      </w:r>
      <w:r w:rsidRPr="00385789">
        <w:rPr>
          <w:rFonts w:cs="新細明體" w:hint="eastAsia"/>
        </w:rPr>
        <w:t>乙、丙可否結婚</w:t>
      </w:r>
      <w:r>
        <w:rPr>
          <w:rFonts w:cs="新細明體" w:hint="eastAsia"/>
        </w:rPr>
        <w:t>？</w:t>
      </w:r>
    </w:p>
    <w:p w:rsidR="008141CD" w:rsidRDefault="008141CD"/>
    <w:p w:rsidR="00680182" w:rsidRDefault="00680182">
      <w:r>
        <w:rPr>
          <w:rFonts w:hint="eastAsia"/>
        </w:rPr>
        <w:t>(</w:t>
      </w:r>
      <w:r>
        <w:rPr>
          <w:rFonts w:hint="eastAsia"/>
        </w:rPr>
        <w:t>一</w:t>
      </w:r>
      <w:r>
        <w:rPr>
          <w:rFonts w:hint="eastAsia"/>
        </w:rPr>
        <w:t>)</w:t>
      </w:r>
    </w:p>
    <w:p w:rsidR="008B068E" w:rsidRDefault="008B068E"/>
    <w:p w:rsidR="00680182" w:rsidRPr="00680182" w:rsidRDefault="00680182" w:rsidP="00680182">
      <w:pPr>
        <w:pStyle w:val="HTMLPreformatted"/>
        <w:shd w:val="clear" w:color="auto" w:fill="FFFFFF"/>
        <w:spacing w:line="315" w:lineRule="atLeast"/>
        <w:rPr>
          <w:rFonts w:hint="eastAsia"/>
          <w:color w:val="000000"/>
          <w:sz w:val="23"/>
          <w:szCs w:val="23"/>
        </w:rPr>
      </w:pPr>
      <w:r>
        <w:rPr>
          <w:rFonts w:hint="eastAsia"/>
        </w:rPr>
        <w:t>1. 民法第967條有規定，</w:t>
      </w:r>
      <w:r w:rsidRPr="00680182">
        <w:rPr>
          <w:rFonts w:hint="eastAsia"/>
          <w:color w:val="000000"/>
          <w:sz w:val="23"/>
          <w:szCs w:val="23"/>
        </w:rPr>
        <w:t>稱直系血親者，謂己身所從出或從己身所出之血親。</w:t>
      </w:r>
    </w:p>
    <w:p w:rsidR="00C604C4" w:rsidRDefault="00680182" w:rsidP="00680182">
      <w:pPr>
        <w:pStyle w:val="HTMLPreformatted"/>
        <w:shd w:val="clear" w:color="auto" w:fill="FFFFFF"/>
        <w:spacing w:line="315" w:lineRule="atLeast"/>
        <w:rPr>
          <w:color w:val="000000"/>
          <w:sz w:val="23"/>
          <w:szCs w:val="23"/>
        </w:rPr>
      </w:pPr>
      <w:r w:rsidRPr="00680182">
        <w:rPr>
          <w:rFonts w:hint="eastAsia"/>
          <w:color w:val="000000"/>
          <w:sz w:val="23"/>
          <w:szCs w:val="23"/>
        </w:rPr>
        <w:t>稱旁系血親者，謂非直系血親，而與己身出於同源之血親。</w:t>
      </w:r>
      <w:r>
        <w:rPr>
          <w:rFonts w:hint="eastAsia"/>
          <w:color w:val="000000"/>
          <w:sz w:val="23"/>
          <w:szCs w:val="23"/>
        </w:rPr>
        <w:t>同法第968條有定，血親親等之計算，直系血親，從己身上下數，以一世為一親等；旁系血親，從己身數至同源之直系血親，再由同源之直系血親，數至與之計算親等之血親，以其總世數為親等之數。又按同法第969條規定，稱姻親者，謂血親之配偶、配偶之血親及配偶之血親之配偶。</w:t>
      </w:r>
      <w:r w:rsidR="00C604C4">
        <w:rPr>
          <w:rFonts w:hint="eastAsia"/>
          <w:color w:val="000000"/>
          <w:sz w:val="23"/>
          <w:szCs w:val="23"/>
        </w:rPr>
        <w:t>而同法第970條有定，姻親之親系及親等之計算如左：二、配偶之血親，從其與配偶之親系及親等。</w:t>
      </w:r>
      <w:r>
        <w:rPr>
          <w:rFonts w:hint="eastAsia"/>
          <w:color w:val="000000"/>
          <w:sz w:val="23"/>
          <w:szCs w:val="23"/>
        </w:rPr>
        <w:t>於本件，甲、乙</w:t>
      </w:r>
      <w:r w:rsidR="004B793E">
        <w:rPr>
          <w:rFonts w:hint="eastAsia"/>
          <w:color w:val="000000"/>
          <w:sz w:val="23"/>
          <w:szCs w:val="23"/>
        </w:rPr>
        <w:t>間非為己身所從出或從己身所出之關係而不是直系血親，但因其母親A、B之母親為姊妹，故可知甲、乙出於同源之血親，故甲、乙按民法第967條乃旁系血親。</w:t>
      </w:r>
      <w:r w:rsidR="00C604C4">
        <w:rPr>
          <w:rFonts w:hint="eastAsia"/>
          <w:color w:val="000000"/>
          <w:sz w:val="23"/>
          <w:szCs w:val="23"/>
        </w:rPr>
        <w:t>又按民法第968條可知，由甲數至其與乙同源之血親即A之祖父、母後，再數至乙，總共經過6世，故甲、乙間為6親等旁系血親。對丙而言，乙乃其配偶之血親，按民法第969條可知乙、丙間為姻親關係。再按同法第970條第二款之規定，配偶之血親，從其與配偶之親系與親等，即對丙而言，其和乙之親系親等之計算乃從甲、乙間之關係而定。既甲、乙間為6親等旁系血親，按上述即可知乙、丙互為6親等旁系姻親。</w:t>
      </w:r>
    </w:p>
    <w:p w:rsidR="00C604C4" w:rsidRPr="00C604C4" w:rsidRDefault="00C604C4" w:rsidP="00680182">
      <w:pPr>
        <w:pStyle w:val="HTMLPreformatted"/>
        <w:shd w:val="clear" w:color="auto" w:fill="FFFFFF"/>
        <w:spacing w:line="315" w:lineRule="atLeast"/>
        <w:rPr>
          <w:rFonts w:hint="eastAsia"/>
          <w:color w:val="000000"/>
          <w:sz w:val="23"/>
          <w:szCs w:val="23"/>
        </w:rPr>
      </w:pPr>
    </w:p>
    <w:p w:rsidR="003C3646" w:rsidRDefault="00C604C4" w:rsidP="003C3646">
      <w:pPr>
        <w:pStyle w:val="HTMLPreformatted"/>
        <w:shd w:val="clear" w:color="auto" w:fill="FFFFFF"/>
        <w:spacing w:line="315" w:lineRule="atLeast"/>
        <w:rPr>
          <w:color w:val="000000"/>
          <w:sz w:val="23"/>
          <w:szCs w:val="23"/>
        </w:rPr>
      </w:pPr>
      <w:r>
        <w:rPr>
          <w:rFonts w:hint="eastAsia"/>
          <w:color w:val="000000"/>
          <w:sz w:val="23"/>
          <w:szCs w:val="23"/>
        </w:rPr>
        <w:t>2. 民法第983條有定，與左列親屬，不得結婚︰一、直系血親及直系姻親。二、旁系血親在六親等以內者。但因收養而成立之四親等及六親等旁系血親，輩分相同者，不在此限。三、旁系姻親在五親等以內，輩分不相同者。前項直系姻親結婚之限制，於姻親關係消滅後，亦適用之。</w:t>
      </w:r>
      <w:r w:rsidR="003C3646">
        <w:rPr>
          <w:rFonts w:hint="eastAsia"/>
          <w:color w:val="000000"/>
          <w:sz w:val="23"/>
          <w:szCs w:val="23"/>
        </w:rPr>
        <w:t>於本件，乙、丙互為6親等旁系姻親，不在本條近親結婚禁止之範圍內，故乙、丙可以結婚。</w:t>
      </w:r>
    </w:p>
    <w:p w:rsidR="003C3646" w:rsidRPr="003C3646" w:rsidRDefault="003C3646" w:rsidP="003C3646">
      <w:pPr>
        <w:pStyle w:val="HTMLPreformatted"/>
        <w:shd w:val="clear" w:color="auto" w:fill="FFFFFF"/>
        <w:spacing w:line="315" w:lineRule="atLeast"/>
        <w:rPr>
          <w:rFonts w:hint="eastAsia"/>
          <w:color w:val="000000"/>
          <w:sz w:val="23"/>
          <w:szCs w:val="23"/>
        </w:rPr>
      </w:pPr>
    </w:p>
    <w:p w:rsidR="00C604C4" w:rsidRDefault="003C3646" w:rsidP="00C604C4">
      <w:pPr>
        <w:pStyle w:val="HTMLPreformatted"/>
        <w:shd w:val="clear" w:color="auto" w:fill="FFFFFF"/>
        <w:spacing w:line="315" w:lineRule="atLeast"/>
        <w:rPr>
          <w:color w:val="000000"/>
          <w:sz w:val="23"/>
          <w:szCs w:val="23"/>
        </w:rPr>
      </w:pPr>
      <w:r>
        <w:rPr>
          <w:rFonts w:hint="eastAsia"/>
          <w:color w:val="000000"/>
          <w:sz w:val="23"/>
          <w:szCs w:val="23"/>
        </w:rPr>
        <w:t>3. 又民法第971條有定，姻親關係，因離婚而消滅；結婚經撤銷者亦同。本件中甲、丙既然已離婚，按此規定乙、丙間之姻親關係消滅，故縱使其間非6親等旁系</w:t>
      </w:r>
      <w:r>
        <w:rPr>
          <w:rFonts w:hint="eastAsia"/>
          <w:color w:val="000000"/>
          <w:sz w:val="23"/>
          <w:szCs w:val="23"/>
        </w:rPr>
        <w:lastRenderedPageBreak/>
        <w:t>姻親，似亦可結婚。雖民法第983條第2項對於姻親關係消滅後仍有近親結婚之限制，但其乃限制直系姻親之結婚，乙、丙既為旁系姻親，當不受此限制。</w:t>
      </w:r>
    </w:p>
    <w:p w:rsidR="003C3646" w:rsidRPr="003C3646" w:rsidRDefault="003C3646" w:rsidP="00C604C4">
      <w:pPr>
        <w:pStyle w:val="HTMLPreformatted"/>
        <w:shd w:val="clear" w:color="auto" w:fill="FFFFFF"/>
        <w:spacing w:line="315" w:lineRule="atLeast"/>
        <w:rPr>
          <w:rFonts w:hint="eastAsia"/>
          <w:color w:val="000000"/>
          <w:sz w:val="23"/>
          <w:szCs w:val="23"/>
        </w:rPr>
      </w:pPr>
      <w:r>
        <w:rPr>
          <w:rFonts w:hint="eastAsia"/>
          <w:color w:val="000000"/>
          <w:sz w:val="23"/>
          <w:szCs w:val="23"/>
        </w:rPr>
        <w:t>4. 綜上述，乙、丙可以結婚。</w:t>
      </w:r>
    </w:p>
    <w:p w:rsidR="00680182" w:rsidRPr="00680182" w:rsidRDefault="00680182" w:rsidP="00680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p>
    <w:p w:rsidR="00680182" w:rsidRDefault="003C3646">
      <w:r>
        <w:rPr>
          <w:rFonts w:hint="eastAsia"/>
        </w:rPr>
        <w:t>(</w:t>
      </w:r>
      <w:r>
        <w:rPr>
          <w:rFonts w:hint="eastAsia"/>
        </w:rPr>
        <w:t>二</w:t>
      </w:r>
      <w:r>
        <w:rPr>
          <w:rFonts w:hint="eastAsia"/>
        </w:rPr>
        <w:t>)</w:t>
      </w:r>
    </w:p>
    <w:p w:rsidR="008B068E" w:rsidRDefault="008B068E"/>
    <w:p w:rsidR="003C3646" w:rsidRDefault="003C3646">
      <w:r>
        <w:rPr>
          <w:rFonts w:hint="eastAsia"/>
        </w:rPr>
        <w:t xml:space="preserve">1. </w:t>
      </w:r>
      <w:r>
        <w:rPr>
          <w:rFonts w:hint="eastAsia"/>
        </w:rPr>
        <w:t>按上述可知，乙、丙互為</w:t>
      </w:r>
      <w:r>
        <w:rPr>
          <w:rFonts w:hint="eastAsia"/>
        </w:rPr>
        <w:t>6</w:t>
      </w:r>
      <w:r>
        <w:rPr>
          <w:rFonts w:hint="eastAsia"/>
        </w:rPr>
        <w:t>親等旁系姻親。</w:t>
      </w:r>
    </w:p>
    <w:p w:rsidR="003C3646" w:rsidRDefault="003C3646"/>
    <w:p w:rsidR="003C3646" w:rsidRDefault="003C3646">
      <w:r>
        <w:rPr>
          <w:rFonts w:hint="eastAsia"/>
        </w:rPr>
        <w:t xml:space="preserve">2. </w:t>
      </w:r>
      <w:r>
        <w:rPr>
          <w:rFonts w:hint="eastAsia"/>
        </w:rPr>
        <w:t>按民法第</w:t>
      </w:r>
      <w:r>
        <w:rPr>
          <w:rFonts w:hint="eastAsia"/>
        </w:rPr>
        <w:t>971</w:t>
      </w:r>
      <w:r>
        <w:rPr>
          <w:rFonts w:hint="eastAsia"/>
        </w:rPr>
        <w:t>條之反面解釋可知，若夫妻並未離婚一方即死亡，此時配偶與死者家屬間的姻親關係並不會消滅，此時乙、丙間可能會受到民法第</w:t>
      </w:r>
      <w:r>
        <w:rPr>
          <w:rFonts w:hint="eastAsia"/>
        </w:rPr>
        <w:t>983</w:t>
      </w:r>
      <w:r>
        <w:rPr>
          <w:rFonts w:hint="eastAsia"/>
        </w:rPr>
        <w:t>條近親結婚禁止的限制。惟因其間乃</w:t>
      </w:r>
      <w:r>
        <w:rPr>
          <w:rFonts w:hint="eastAsia"/>
        </w:rPr>
        <w:t>6</w:t>
      </w:r>
      <w:r>
        <w:rPr>
          <w:rFonts w:hint="eastAsia"/>
        </w:rPr>
        <w:t>親等旁系姻親，且為同輩份，縱使姻親關係為消滅，仍不在近親結婚禁止的範圍中，故乙、丙可以結婚。</w:t>
      </w:r>
    </w:p>
    <w:p w:rsidR="003C3646" w:rsidRDefault="003C3646"/>
    <w:p w:rsidR="003C3646" w:rsidRDefault="003C3646">
      <w:pPr>
        <w:rPr>
          <w:rFonts w:hint="eastAsia"/>
        </w:rPr>
      </w:pPr>
    </w:p>
    <w:p w:rsidR="003C3646" w:rsidRDefault="003C3646" w:rsidP="003C3646">
      <w:pPr>
        <w:ind w:left="480" w:hangingChars="200" w:hanging="480"/>
        <w:jc w:val="both"/>
        <w:rPr>
          <w:rFonts w:hint="eastAsia"/>
        </w:rPr>
      </w:pPr>
      <w:r>
        <w:rPr>
          <w:rFonts w:hint="eastAsia"/>
        </w:rPr>
        <w:t>二、甲、乙均為演藝人員，久為狗仔隊所苦。為避免狗仔隊的騷擾，決定結婚時不採取傳統的結婚儀式，不穿白紗禮服，不設證婚人，但廣邀親朋好友，以新年變裝派對的方式在飯店的宴會廳舉行，並提供雞尾酒與蛋糕。隔日，甲、乙到三民書局購買制式結婚證書一本，雙方除在結婚證書上簽名外，並由甲約昨夜參加派對之朋友丙、丁二人到戶政機關簽名，以便登記。試問甲、乙結婚之時間，若分別在民國九十三年與一</w:t>
      </w:r>
      <w:r>
        <w:rPr>
          <w:rFonts w:hint="eastAsia"/>
        </w:rPr>
        <w:t>O</w:t>
      </w:r>
      <w:r>
        <w:rPr>
          <w:rFonts w:hint="eastAsia"/>
        </w:rPr>
        <w:t>三年，其結婚之效力各為如何？</w:t>
      </w:r>
      <w:r>
        <w:rPr>
          <w:rFonts w:hint="eastAsia"/>
        </w:rPr>
        <w:t>(30%)</w:t>
      </w:r>
    </w:p>
    <w:p w:rsidR="003C3646" w:rsidRDefault="003C3646"/>
    <w:p w:rsidR="003C3646" w:rsidRDefault="003C3646">
      <w:r>
        <w:rPr>
          <w:rFonts w:hint="eastAsia"/>
        </w:rPr>
        <w:t>(</w:t>
      </w:r>
      <w:r>
        <w:rPr>
          <w:rFonts w:hint="eastAsia"/>
        </w:rPr>
        <w:t>一</w:t>
      </w:r>
      <w:r>
        <w:rPr>
          <w:rFonts w:hint="eastAsia"/>
        </w:rPr>
        <w:t>)</w:t>
      </w:r>
    </w:p>
    <w:p w:rsidR="003C3646" w:rsidRDefault="003C3646"/>
    <w:p w:rsidR="003C3646" w:rsidRPr="00BD590A" w:rsidRDefault="003C3646" w:rsidP="003C3646">
      <w:pPr>
        <w:pStyle w:val="ListParagraph"/>
        <w:numPr>
          <w:ilvl w:val="0"/>
          <w:numId w:val="2"/>
        </w:numPr>
        <w:ind w:leftChars="0"/>
      </w:pPr>
      <w:r>
        <w:rPr>
          <w:rFonts w:ascii="Times New Roman" w:hAnsi="Times New Roman" w:cs="Times New Roman" w:hint="eastAsia"/>
        </w:rPr>
        <w:t>在民國</w:t>
      </w:r>
      <w:r>
        <w:rPr>
          <w:rFonts w:ascii="Times New Roman" w:hAnsi="Times New Roman" w:cs="Times New Roman" w:hint="eastAsia"/>
        </w:rPr>
        <w:t>96</w:t>
      </w:r>
      <w:r>
        <w:rPr>
          <w:rFonts w:ascii="Times New Roman" w:hAnsi="Times New Roman" w:cs="Times New Roman" w:hint="eastAsia"/>
        </w:rPr>
        <w:t>年修法前，關於婚姻之形式要件，民法第</w:t>
      </w:r>
      <w:r>
        <w:rPr>
          <w:rFonts w:ascii="Times New Roman" w:hAnsi="Times New Roman" w:cs="Times New Roman" w:hint="eastAsia"/>
        </w:rPr>
        <w:t>982</w:t>
      </w:r>
      <w:r>
        <w:rPr>
          <w:rFonts w:ascii="Times New Roman" w:hAnsi="Times New Roman" w:cs="Times New Roman" w:hint="eastAsia"/>
        </w:rPr>
        <w:t>條規定為</w:t>
      </w:r>
      <w:r w:rsidRPr="00BD590A">
        <w:rPr>
          <w:rFonts w:ascii="Times New Roman" w:hAnsi="Times New Roman" w:cs="Times New Roman" w:hint="eastAsia"/>
        </w:rPr>
        <w:t>「</w:t>
      </w:r>
      <w:r w:rsidR="00BD590A" w:rsidRPr="00BD590A">
        <w:rPr>
          <w:rFonts w:ascii="Arial" w:hAnsi="Arial" w:cs="Arial"/>
          <w:color w:val="000000"/>
          <w:shd w:val="clear" w:color="auto" w:fill="FFFFFF"/>
        </w:rPr>
        <w:t>結婚，應有公開儀式及二人以上之證人。經依戶籍法為結婚之登記者，推定其已結婚。</w:t>
      </w:r>
      <w:r w:rsidRPr="003C3DBE">
        <w:rPr>
          <w:rFonts w:ascii="Times New Roman" w:hAnsi="Times New Roman" w:cs="Times New Roman" w:hint="eastAsia"/>
        </w:rPr>
        <w:t>」</w:t>
      </w:r>
      <w:r w:rsidR="003C3DBE">
        <w:rPr>
          <w:rFonts w:ascii="Times New Roman" w:hAnsi="Times New Roman" w:cs="Times New Roman" w:hint="eastAsia"/>
        </w:rPr>
        <w:t>，故可知須公開儀式及兩人以上證人。所謂儀式，其之方式沒有任何限制。而公開乃指該儀式需楚瑜不特定人得共見聞之情況。此外，亦須在場之人得知曉該儀式為一結婚儀式。而所謂之證人，為須在場親見，且願意負證明責任之人。本件若甲、乙在民國</w:t>
      </w:r>
      <w:r w:rsidR="003C3DBE">
        <w:rPr>
          <w:rFonts w:ascii="Times New Roman" w:hAnsi="Times New Roman" w:cs="Times New Roman" w:hint="eastAsia"/>
        </w:rPr>
        <w:t>93</w:t>
      </w:r>
      <w:r w:rsidR="003C3DBE">
        <w:rPr>
          <w:rFonts w:ascii="Times New Roman" w:hAnsi="Times New Roman" w:cs="Times New Roman" w:hint="eastAsia"/>
        </w:rPr>
        <w:t>年結婚，須按照修法前之民法第</w:t>
      </w:r>
      <w:r w:rsidR="003C3DBE">
        <w:rPr>
          <w:rFonts w:ascii="Times New Roman" w:hAnsi="Times New Roman" w:cs="Times New Roman" w:hint="eastAsia"/>
        </w:rPr>
        <w:t>982</w:t>
      </w:r>
      <w:r w:rsidR="003C3DBE">
        <w:rPr>
          <w:rFonts w:ascii="Times New Roman" w:hAnsi="Times New Roman" w:cs="Times New Roman" w:hint="eastAsia"/>
        </w:rPr>
        <w:t>條儀式婚之方式為結婚。其在大飯店舉辦派對，似乎可認為一種形式上之儀式。而飯店宴會廳通常會將門打開使任何人得以進入，故可認該儀式為一不特定人可共見聞之公開儀式。又因甲、乙所舉辦之派對為一變裝派對，且不穿白紗禮服，亦不設證婚人，形式上難以讓人知悉甲、乙是要藉由該儀式以結婚，</w:t>
      </w:r>
      <w:r w:rsidR="00BD590A">
        <w:rPr>
          <w:rFonts w:ascii="Times New Roman" w:hAnsi="Times New Roman" w:cs="Times New Roman" w:hint="eastAsia"/>
        </w:rPr>
        <w:t>故不合於公開儀式之要件，甲、乙結婚無效。</w:t>
      </w:r>
    </w:p>
    <w:p w:rsidR="00BD590A" w:rsidRDefault="00BD590A" w:rsidP="003C3646">
      <w:pPr>
        <w:pStyle w:val="ListParagraph"/>
        <w:numPr>
          <w:ilvl w:val="0"/>
          <w:numId w:val="2"/>
        </w:numPr>
        <w:ind w:leftChars="0"/>
      </w:pPr>
      <w:r>
        <w:rPr>
          <w:rFonts w:hint="eastAsia"/>
        </w:rPr>
        <w:t>縱使符合公開儀式之要件，但從題幹觀察，本件在儀式舉辦時並沒有在場願意負證明責任之人，亦即在舉行公開儀式之時並沒有證人，不符合須有二人以上證人之要件，故甲、乙結婚無效。</w:t>
      </w:r>
    </w:p>
    <w:p w:rsidR="00BD590A" w:rsidRDefault="00BD590A" w:rsidP="003C3646">
      <w:pPr>
        <w:pStyle w:val="ListParagraph"/>
        <w:numPr>
          <w:ilvl w:val="0"/>
          <w:numId w:val="2"/>
        </w:numPr>
        <w:ind w:leftChars="0"/>
      </w:pPr>
      <w:r>
        <w:rPr>
          <w:rFonts w:hint="eastAsia"/>
        </w:rPr>
        <w:lastRenderedPageBreak/>
        <w:t>雖然上開條文第</w:t>
      </w:r>
      <w:r>
        <w:rPr>
          <w:rFonts w:hint="eastAsia"/>
        </w:rPr>
        <w:t>2</w:t>
      </w:r>
      <w:r>
        <w:rPr>
          <w:rFonts w:hint="eastAsia"/>
        </w:rPr>
        <w:t>項有規定，依戶籍法為結婚登記者，推定其已結婚，而本件甲邀請丙、丁至戶政機關登記，似可推定有結婚。然依照學者見解，所謂推定結婚僅在民事訴訟上發生推定之效果，須使主張結婚無效之人舉證推翻當事人</w:t>
      </w:r>
      <w:r w:rsidR="00AA6D5F">
        <w:rPr>
          <w:rFonts w:hint="eastAsia"/>
        </w:rPr>
        <w:t>在戶政機關所登記結婚之事</w:t>
      </w:r>
      <w:r>
        <w:rPr>
          <w:rFonts w:hint="eastAsia"/>
        </w:rPr>
        <w:t>，仍非結婚之生效要件，故本件甲、乙結婚無效。</w:t>
      </w:r>
    </w:p>
    <w:p w:rsidR="003C3646" w:rsidRDefault="003C3646"/>
    <w:p w:rsidR="008B068E" w:rsidRDefault="008B068E">
      <w:r>
        <w:rPr>
          <w:rFonts w:hint="eastAsia"/>
        </w:rPr>
        <w:t>(</w:t>
      </w:r>
      <w:r>
        <w:rPr>
          <w:rFonts w:hint="eastAsia"/>
        </w:rPr>
        <w:t>二</w:t>
      </w:r>
      <w:r>
        <w:rPr>
          <w:rFonts w:hint="eastAsia"/>
        </w:rPr>
        <w:t>)</w:t>
      </w:r>
    </w:p>
    <w:p w:rsidR="008B068E" w:rsidRDefault="008B068E"/>
    <w:p w:rsidR="008B068E" w:rsidRDefault="008B068E" w:rsidP="008B068E">
      <w:pPr>
        <w:pStyle w:val="HTMLPreformatted"/>
        <w:numPr>
          <w:ilvl w:val="0"/>
          <w:numId w:val="3"/>
        </w:numPr>
        <w:shd w:val="clear" w:color="auto" w:fill="FFFFFF"/>
        <w:spacing w:line="315" w:lineRule="atLeast"/>
        <w:rPr>
          <w:rFonts w:asciiTheme="minorEastAsia" w:eastAsiaTheme="minorEastAsia" w:hAnsiTheme="minorEastAsia"/>
          <w:color w:val="000000"/>
        </w:rPr>
      </w:pPr>
      <w:r>
        <w:rPr>
          <w:rFonts w:hint="eastAsia"/>
        </w:rPr>
        <w:t>在民國96年修法後，現在結婚之形式要件乃規定於民法第982條，其規定</w:t>
      </w:r>
      <w:r w:rsidRPr="008B068E">
        <w:rPr>
          <w:rFonts w:asciiTheme="minorEastAsia" w:eastAsiaTheme="minorEastAsia" w:hAnsiTheme="minorEastAsia" w:hint="eastAsia"/>
        </w:rPr>
        <w:t>「</w:t>
      </w:r>
      <w:r w:rsidRPr="008B068E">
        <w:rPr>
          <w:rFonts w:asciiTheme="minorEastAsia" w:eastAsiaTheme="minorEastAsia" w:hAnsiTheme="minorEastAsia" w:hint="eastAsia"/>
          <w:color w:val="000000"/>
        </w:rPr>
        <w:t>結婚應以書面為之，有二人以上證人之簽名，並應由雙方當事人向戶政機關為結婚之登記</w:t>
      </w:r>
      <w:r w:rsidRPr="008B068E">
        <w:rPr>
          <w:rFonts w:asciiTheme="minorEastAsia" w:eastAsiaTheme="minorEastAsia" w:hAnsiTheme="minorEastAsia" w:hint="eastAsia"/>
        </w:rPr>
        <w:t>」。</w:t>
      </w:r>
      <w:r>
        <w:rPr>
          <w:rFonts w:asciiTheme="minorEastAsia" w:eastAsiaTheme="minorEastAsia" w:hAnsiTheme="minorEastAsia" w:hint="eastAsia"/>
          <w:color w:val="000000"/>
        </w:rPr>
        <w:t>本件若甲、乙在民國103年結婚，自須按照新法之規定以結婚。</w:t>
      </w:r>
    </w:p>
    <w:p w:rsidR="008B068E" w:rsidRPr="008B068E" w:rsidRDefault="008B068E" w:rsidP="008B068E">
      <w:pPr>
        <w:pStyle w:val="HTMLPreformatted"/>
        <w:shd w:val="clear" w:color="auto" w:fill="FFFFFF"/>
        <w:spacing w:line="315" w:lineRule="atLeast"/>
        <w:ind w:left="360"/>
        <w:rPr>
          <w:rFonts w:asciiTheme="minorEastAsia" w:eastAsiaTheme="minorEastAsia" w:hAnsiTheme="minorEastAsia" w:hint="eastAsia"/>
          <w:color w:val="000000"/>
        </w:rPr>
      </w:pPr>
    </w:p>
    <w:p w:rsidR="003C3646" w:rsidRDefault="008B068E" w:rsidP="008B068E">
      <w:pPr>
        <w:pStyle w:val="HTMLPreformatted"/>
        <w:numPr>
          <w:ilvl w:val="0"/>
          <w:numId w:val="3"/>
        </w:numPr>
        <w:shd w:val="clear" w:color="auto" w:fill="FFFFFF"/>
        <w:spacing w:line="315" w:lineRule="atLeast"/>
        <w:rPr>
          <w:rFonts w:asciiTheme="minorEastAsia" w:eastAsiaTheme="minorEastAsia" w:hAnsiTheme="minorEastAsia"/>
          <w:color w:val="000000"/>
        </w:rPr>
      </w:pPr>
      <w:r>
        <w:rPr>
          <w:rFonts w:asciiTheme="minorEastAsia" w:eastAsiaTheme="minorEastAsia" w:hAnsiTheme="minorEastAsia" w:hint="eastAsia"/>
          <w:color w:val="000000"/>
        </w:rPr>
        <w:t>於本件，甲、乙既已至書面購買結婚證書並簽名於其上，自符合書面之要件。而後又有丙、丁二人至戶政機關就該結婚證書為簽名，此時丙、丁二人應為院為結婚負證明責任之人，自亦符合二人證人簽名之要件。惟因本件僅甲邀丙、丁一同至戶政機關惟登記，乙似未親自戶政機關惟登記，則不符合雙方當事人向戶政機關惟結婚登記之要件，故甲、乙結婚無效。</w:t>
      </w:r>
    </w:p>
    <w:p w:rsidR="00426A78" w:rsidRDefault="00426A78" w:rsidP="00426A78">
      <w:pPr>
        <w:pStyle w:val="ListParagraph"/>
        <w:rPr>
          <w:rFonts w:asciiTheme="minorEastAsia" w:eastAsiaTheme="minorEastAsia" w:hAnsiTheme="minorEastAsia" w:hint="eastAsia"/>
          <w:color w:val="000000"/>
        </w:rPr>
      </w:pPr>
    </w:p>
    <w:p w:rsidR="00426A78" w:rsidRDefault="00426A78" w:rsidP="00426A78">
      <w:pPr>
        <w:pStyle w:val="HTMLPreformatted"/>
        <w:shd w:val="clear" w:color="auto" w:fill="FFFFFF"/>
        <w:spacing w:line="315" w:lineRule="atLeast"/>
        <w:rPr>
          <w:rFonts w:asciiTheme="minorEastAsia" w:eastAsiaTheme="minorEastAsia" w:hAnsiTheme="minorEastAsia"/>
          <w:color w:val="000000"/>
        </w:rPr>
      </w:pPr>
    </w:p>
    <w:p w:rsidR="00426A78" w:rsidRDefault="00426A78" w:rsidP="00426A78">
      <w:pPr>
        <w:ind w:left="480" w:hangingChars="200" w:hanging="480"/>
        <w:jc w:val="both"/>
        <w:rPr>
          <w:rFonts w:hint="eastAsia"/>
        </w:rPr>
      </w:pPr>
      <w:r>
        <w:rPr>
          <w:rFonts w:hint="eastAsia"/>
        </w:rPr>
        <w:t>三、甲、乙結婚後，丙於日前出面主張其始為甲之合法配偶，且經查證，丙的確於多年前與甲結婚，試就以下假設丙之身分情形，分析討論甲、乙與甲、丙結婚之效力？</w:t>
      </w:r>
      <w:r>
        <w:rPr>
          <w:rFonts w:hint="eastAsia"/>
        </w:rPr>
        <w:t>(40%)</w:t>
      </w:r>
    </w:p>
    <w:p w:rsidR="00426A78" w:rsidRDefault="00426A78" w:rsidP="00426A78">
      <w:pPr>
        <w:ind w:leftChars="150" w:left="1080" w:hangingChars="300" w:hanging="720"/>
        <w:jc w:val="both"/>
        <w:rPr>
          <w:rFonts w:hint="eastAsia"/>
        </w:rPr>
      </w:pPr>
      <w:r>
        <w:rPr>
          <w:rFonts w:hint="eastAsia"/>
        </w:rPr>
        <w:t>（一）假設丙為大陸配偶，若甲、乙之結婚分別在民國五十八年、民國之七十五年與八十年，其根據與結果有無不同？</w:t>
      </w:r>
    </w:p>
    <w:p w:rsidR="00426A78" w:rsidRDefault="00426A78" w:rsidP="00426A78">
      <w:pPr>
        <w:ind w:leftChars="150" w:left="1080" w:hangingChars="300" w:hanging="720"/>
        <w:jc w:val="both"/>
        <w:rPr>
          <w:rFonts w:hint="eastAsia"/>
        </w:rPr>
      </w:pPr>
      <w:r>
        <w:rPr>
          <w:rFonts w:hint="eastAsia"/>
        </w:rPr>
        <w:t>（二）假設甲、乙於民國九十二年結婚，丙之主張其為合法配偶，乃因過去甲、丙之協議離婚，</w:t>
      </w:r>
      <w:r w:rsidR="00BE11A0">
        <w:rPr>
          <w:rFonts w:hint="eastAsia"/>
        </w:rPr>
        <w:t>雖經登記，實際上證人是丙找來的，與甲從未聯繫過，故其離婚無效。</w:t>
      </w:r>
      <w:r>
        <w:rPr>
          <w:rFonts w:hint="eastAsia"/>
        </w:rPr>
        <w:t>試問三人婚姻之效力如何？</w:t>
      </w:r>
    </w:p>
    <w:p w:rsidR="00426A78" w:rsidRDefault="00426A78" w:rsidP="00426A78">
      <w:pPr>
        <w:pStyle w:val="HTMLPreformatted"/>
        <w:shd w:val="clear" w:color="auto" w:fill="FFFFFF"/>
        <w:spacing w:line="315" w:lineRule="atLeast"/>
        <w:rPr>
          <w:rFonts w:asciiTheme="minorEastAsia" w:eastAsiaTheme="minorEastAsia" w:hAnsiTheme="minorEastAsia"/>
          <w:color w:val="000000"/>
        </w:rPr>
      </w:pPr>
    </w:p>
    <w:p w:rsidR="00426A78" w:rsidRDefault="00C7773A" w:rsidP="00426A78">
      <w:pPr>
        <w:pStyle w:val="HTMLPreformatted"/>
        <w:shd w:val="clear" w:color="auto" w:fill="FFFFFF"/>
        <w:spacing w:line="315" w:lineRule="atLeast"/>
        <w:rPr>
          <w:rFonts w:asciiTheme="minorEastAsia" w:eastAsiaTheme="minorEastAsia" w:hAnsiTheme="minorEastAsia"/>
          <w:color w:val="000000"/>
        </w:rPr>
      </w:pPr>
      <w:r>
        <w:rPr>
          <w:rFonts w:asciiTheme="minorEastAsia" w:eastAsiaTheme="minorEastAsia" w:hAnsiTheme="minorEastAsia" w:hint="eastAsia"/>
          <w:color w:val="000000"/>
        </w:rPr>
        <w:t>(一)</w:t>
      </w:r>
    </w:p>
    <w:p w:rsidR="00C7773A" w:rsidRDefault="00C7773A" w:rsidP="00426A78">
      <w:pPr>
        <w:pStyle w:val="HTMLPreformatted"/>
        <w:shd w:val="clear" w:color="auto" w:fill="FFFFFF"/>
        <w:spacing w:line="315" w:lineRule="atLeast"/>
        <w:rPr>
          <w:rFonts w:asciiTheme="minorEastAsia" w:eastAsiaTheme="minorEastAsia" w:hAnsiTheme="minorEastAsia"/>
          <w:color w:val="000000"/>
        </w:rPr>
      </w:pPr>
    </w:p>
    <w:p w:rsidR="00C7773A" w:rsidRDefault="00C7773A" w:rsidP="00C7773A">
      <w:pPr>
        <w:pStyle w:val="HTMLPreformatted"/>
        <w:numPr>
          <w:ilvl w:val="0"/>
          <w:numId w:val="5"/>
        </w:numPr>
        <w:shd w:val="clear" w:color="auto" w:fill="FFFFFF"/>
        <w:spacing w:line="315" w:lineRule="atLeast"/>
        <w:rPr>
          <w:rFonts w:asciiTheme="minorEastAsia" w:eastAsiaTheme="minorEastAsia" w:hAnsiTheme="minorEastAsia"/>
          <w:color w:val="000000"/>
        </w:rPr>
      </w:pPr>
      <w:r>
        <w:rPr>
          <w:rFonts w:asciiTheme="minorEastAsia" w:eastAsiaTheme="minorEastAsia" w:hAnsiTheme="minorEastAsia" w:hint="eastAsia"/>
          <w:color w:val="000000"/>
        </w:rPr>
        <w:t>在民國74年修法以前，參照當時我國民法第985條及993條之規定，有配偶者，不得重婚，若違反此規定者，利害關係人得向法院請求撤銷之。由此可知在修法前違反重婚之規定時，後婚僅為得撤銷而非無效。但在修法後，民法第988條將重婚時後婚之效力規定成無效，就此引發民國38年撤退來台之軍人，若其在撤退來前即有婚姻，後在台灣又與他人結婚時，後婚效力究竟為合之爭議。釋字第242號指出，若國家遭遇重大變故，在夫妻隔離，相聚無期之情況下所發生之重婚事件，與一般重婚事件不同，若將後婚撤銷</w:t>
      </w:r>
      <w:r>
        <w:rPr>
          <w:rFonts w:asciiTheme="minorEastAsia" w:eastAsiaTheme="minorEastAsia" w:hAnsiTheme="minorEastAsia" w:hint="eastAsia"/>
          <w:color w:val="000000"/>
        </w:rPr>
        <w:lastRenderedPageBreak/>
        <w:t>將牴觸憲法第22條</w:t>
      </w:r>
      <w:r w:rsidRPr="00C7773A">
        <w:rPr>
          <w:rFonts w:asciiTheme="minorEastAsia" w:eastAsiaTheme="minorEastAsia" w:hAnsiTheme="minorEastAsia" w:hint="eastAsia"/>
          <w:color w:val="000000"/>
        </w:rPr>
        <w:t>之規定。後臺灣地區與大陸地區人民關係條例第64條</w:t>
      </w:r>
      <w:r>
        <w:rPr>
          <w:rFonts w:asciiTheme="minorEastAsia" w:eastAsiaTheme="minorEastAsia" w:hAnsiTheme="minorEastAsia" w:hint="eastAsia"/>
          <w:color w:val="000000"/>
        </w:rPr>
        <w:t>則</w:t>
      </w:r>
      <w:r w:rsidRPr="00C7773A">
        <w:rPr>
          <w:rFonts w:asciiTheme="minorEastAsia" w:eastAsiaTheme="minorEastAsia" w:hAnsiTheme="minorEastAsia" w:hint="eastAsia"/>
          <w:color w:val="000000"/>
        </w:rPr>
        <w:t>有定，</w:t>
      </w:r>
      <w:r w:rsidRPr="00C7773A">
        <w:rPr>
          <w:rFonts w:asciiTheme="minorEastAsia" w:eastAsiaTheme="minorEastAsia" w:hAnsiTheme="minorEastAsia" w:hint="eastAsia"/>
          <w:color w:val="000000"/>
        </w:rPr>
        <w:t>夫妻因一方在臺灣地區，一方在大陸地區，不能同居，而一方於民國七十四年六月四日以前重婚者，利害關係人不得聲請撤銷；其於七十四年六月五日以後七十六年十一月一日以前重婚者，該後婚視為有效。前項情形，如夫妻雙方均重婚者，於後婚者重婚之日起，原婚姻關係消滅。</w:t>
      </w:r>
    </w:p>
    <w:p w:rsidR="00C7773A" w:rsidRDefault="00C7773A" w:rsidP="00C7773A">
      <w:pPr>
        <w:pStyle w:val="HTMLPreformatted"/>
        <w:shd w:val="clear" w:color="auto" w:fill="FFFFFF"/>
        <w:spacing w:line="315" w:lineRule="atLeast"/>
        <w:ind w:left="360"/>
        <w:rPr>
          <w:rFonts w:asciiTheme="minorEastAsia" w:eastAsiaTheme="minorEastAsia" w:hAnsiTheme="minorEastAsia"/>
          <w:color w:val="000000"/>
        </w:rPr>
      </w:pPr>
    </w:p>
    <w:p w:rsidR="00C7773A" w:rsidRDefault="00612E43" w:rsidP="00C7773A">
      <w:pPr>
        <w:pStyle w:val="HTMLPreformatted"/>
        <w:numPr>
          <w:ilvl w:val="0"/>
          <w:numId w:val="5"/>
        </w:numPr>
        <w:shd w:val="clear" w:color="auto" w:fill="FFFFFF"/>
        <w:spacing w:line="315" w:lineRule="atLeast"/>
        <w:rPr>
          <w:rFonts w:asciiTheme="minorEastAsia" w:eastAsiaTheme="minorEastAsia" w:hAnsiTheme="minorEastAsia"/>
          <w:color w:val="000000"/>
        </w:rPr>
      </w:pPr>
      <w:r>
        <w:rPr>
          <w:rFonts w:asciiTheme="minorEastAsia" w:eastAsiaTheme="minorEastAsia" w:hAnsiTheme="minorEastAsia" w:hint="eastAsia"/>
          <w:color w:val="000000"/>
        </w:rPr>
        <w:t>本件若甲、乙在民國58年結婚，此時其重婚之效力為得撤銷，但按照兩岸人民關係條例第64條之規定，此時甲乙及甲丙間之婚姻均有效，利害關係人不得撤銷。如丙亦有重婚之情形，則後婚者重婚之日起，元婚姻關係消滅。</w:t>
      </w:r>
    </w:p>
    <w:p w:rsidR="00612E43" w:rsidRDefault="00612E43" w:rsidP="00612E43">
      <w:pPr>
        <w:pStyle w:val="ListParagraph"/>
        <w:rPr>
          <w:rFonts w:asciiTheme="minorEastAsia" w:eastAsiaTheme="minorEastAsia" w:hAnsiTheme="minorEastAsia" w:hint="eastAsia"/>
          <w:color w:val="000000"/>
        </w:rPr>
      </w:pPr>
    </w:p>
    <w:p w:rsidR="00612E43" w:rsidRDefault="00612E43" w:rsidP="00C7773A">
      <w:pPr>
        <w:pStyle w:val="HTMLPreformatted"/>
        <w:numPr>
          <w:ilvl w:val="0"/>
          <w:numId w:val="5"/>
        </w:numPr>
        <w:shd w:val="clear" w:color="auto" w:fill="FFFFFF"/>
        <w:spacing w:line="315" w:lineRule="atLeast"/>
        <w:rPr>
          <w:rFonts w:asciiTheme="minorEastAsia" w:eastAsiaTheme="minorEastAsia" w:hAnsiTheme="minorEastAsia"/>
          <w:color w:val="000000"/>
        </w:rPr>
      </w:pPr>
      <w:r>
        <w:rPr>
          <w:rFonts w:asciiTheme="minorEastAsia" w:eastAsiaTheme="minorEastAsia" w:hAnsiTheme="minorEastAsia" w:hint="eastAsia"/>
          <w:color w:val="000000"/>
        </w:rPr>
        <w:t>若甲、乙在民國75年結婚，此時重婚之效力為無效，但按照上開條第64條之規定，後婚視為有效，則甲乙間婚姻有效。若丙有重婚，此時甲丙之原婚姻關係則消滅。</w:t>
      </w:r>
    </w:p>
    <w:p w:rsidR="0006641B" w:rsidRDefault="0006641B" w:rsidP="0006641B">
      <w:pPr>
        <w:pStyle w:val="ListParagraph"/>
        <w:rPr>
          <w:rFonts w:asciiTheme="minorEastAsia" w:eastAsiaTheme="minorEastAsia" w:hAnsiTheme="minorEastAsia" w:hint="eastAsia"/>
          <w:color w:val="000000"/>
        </w:rPr>
      </w:pPr>
    </w:p>
    <w:p w:rsidR="0006641B" w:rsidRPr="00C7773A" w:rsidRDefault="0006641B" w:rsidP="00C7773A">
      <w:pPr>
        <w:pStyle w:val="HTMLPreformatted"/>
        <w:numPr>
          <w:ilvl w:val="0"/>
          <w:numId w:val="5"/>
        </w:numPr>
        <w:shd w:val="clear" w:color="auto" w:fill="FFFFFF"/>
        <w:spacing w:line="315" w:lineRule="atLeast"/>
        <w:rPr>
          <w:rFonts w:asciiTheme="minorEastAsia" w:eastAsiaTheme="minorEastAsia" w:hAnsiTheme="minorEastAsia" w:hint="eastAsia"/>
          <w:color w:val="000000"/>
        </w:rPr>
      </w:pPr>
      <w:r>
        <w:rPr>
          <w:rFonts w:asciiTheme="minorEastAsia" w:eastAsiaTheme="minorEastAsia" w:hAnsiTheme="minorEastAsia" w:hint="eastAsia"/>
          <w:color w:val="000000"/>
        </w:rPr>
        <w:t>若甲、乙在民國86年結婚，此時重婚之效力為無效。雖按照施行細則第4條之</w:t>
      </w:r>
      <w:r w:rsidR="00FF3B03">
        <w:rPr>
          <w:rFonts w:asciiTheme="minorEastAsia" w:eastAsiaTheme="minorEastAsia" w:hAnsiTheme="minorEastAsia" w:hint="eastAsia"/>
          <w:color w:val="000000"/>
        </w:rPr>
        <w:t>1</w:t>
      </w:r>
      <w:r>
        <w:rPr>
          <w:rFonts w:asciiTheme="minorEastAsia" w:eastAsiaTheme="minorEastAsia" w:hAnsiTheme="minorEastAsia" w:hint="eastAsia"/>
          <w:color w:val="000000"/>
        </w:rPr>
        <w:t>，使民法第988條第3款但書之規定可溯及適用。但因本件甲、丙間之婚姻並沒有兩願離婚登記或裁判離婚確定之情況，自不合於上開但書之規定，故甲、乙間婚姻無效。</w:t>
      </w:r>
    </w:p>
    <w:p w:rsidR="00426A78" w:rsidRDefault="00426A78" w:rsidP="00426A78">
      <w:pPr>
        <w:pStyle w:val="HTMLPreformatted"/>
        <w:shd w:val="clear" w:color="auto" w:fill="FFFFFF"/>
        <w:spacing w:line="315" w:lineRule="atLeast"/>
        <w:rPr>
          <w:rFonts w:asciiTheme="minorEastAsia" w:eastAsiaTheme="minorEastAsia" w:hAnsiTheme="minorEastAsia"/>
          <w:color w:val="000000"/>
        </w:rPr>
      </w:pPr>
    </w:p>
    <w:p w:rsidR="00BE11A0" w:rsidRDefault="00BE11A0" w:rsidP="00426A78">
      <w:pPr>
        <w:pStyle w:val="HTMLPreformatted"/>
        <w:shd w:val="clear" w:color="auto" w:fill="FFFFFF"/>
        <w:spacing w:line="315" w:lineRule="atLeast"/>
        <w:rPr>
          <w:rFonts w:asciiTheme="minorEastAsia" w:eastAsiaTheme="minorEastAsia" w:hAnsiTheme="minorEastAsia"/>
          <w:color w:val="000000"/>
        </w:rPr>
      </w:pPr>
      <w:r>
        <w:rPr>
          <w:rFonts w:asciiTheme="minorEastAsia" w:eastAsiaTheme="minorEastAsia" w:hAnsiTheme="minorEastAsia" w:hint="eastAsia"/>
          <w:color w:val="000000"/>
        </w:rPr>
        <w:t>(二)</w:t>
      </w:r>
    </w:p>
    <w:p w:rsidR="00BE11A0" w:rsidRDefault="00BE11A0" w:rsidP="00426A78">
      <w:pPr>
        <w:pStyle w:val="HTMLPreformatted"/>
        <w:shd w:val="clear" w:color="auto" w:fill="FFFFFF"/>
        <w:spacing w:line="315" w:lineRule="atLeast"/>
        <w:rPr>
          <w:rFonts w:asciiTheme="minorEastAsia" w:eastAsiaTheme="minorEastAsia" w:hAnsiTheme="minorEastAsia"/>
          <w:color w:val="000000"/>
        </w:rPr>
      </w:pPr>
    </w:p>
    <w:p w:rsidR="00BE11A0" w:rsidRPr="009F6AFE" w:rsidRDefault="00D22AAD" w:rsidP="00FF3B03">
      <w:pPr>
        <w:pStyle w:val="HTMLPreformatted"/>
        <w:numPr>
          <w:ilvl w:val="0"/>
          <w:numId w:val="7"/>
        </w:numPr>
        <w:shd w:val="clear" w:color="auto" w:fill="FFFFFF"/>
        <w:spacing w:line="315" w:lineRule="atLeast"/>
        <w:rPr>
          <w:color w:val="000000"/>
          <w:sz w:val="23"/>
          <w:szCs w:val="23"/>
        </w:rPr>
      </w:pPr>
      <w:r>
        <w:rPr>
          <w:rFonts w:asciiTheme="minorEastAsia" w:eastAsiaTheme="minorEastAsia" w:hAnsiTheme="minorEastAsia" w:hint="eastAsia"/>
          <w:color w:val="000000"/>
        </w:rPr>
        <w:t>若前婚姻</w:t>
      </w:r>
      <w:r w:rsidR="00FF3B03">
        <w:rPr>
          <w:rFonts w:asciiTheme="minorEastAsia" w:eastAsiaTheme="minorEastAsia" w:hAnsiTheme="minorEastAsia" w:hint="eastAsia"/>
          <w:color w:val="000000"/>
        </w:rPr>
        <w:t>有判決離婚</w:t>
      </w:r>
      <w:r>
        <w:rPr>
          <w:rFonts w:asciiTheme="minorEastAsia" w:eastAsiaTheme="minorEastAsia" w:hAnsiTheme="minorEastAsia" w:hint="eastAsia"/>
          <w:color w:val="000000"/>
        </w:rPr>
        <w:t>，</w:t>
      </w:r>
      <w:r w:rsidR="00FF3B03">
        <w:rPr>
          <w:rFonts w:asciiTheme="minorEastAsia" w:eastAsiaTheme="minorEastAsia" w:hAnsiTheme="minorEastAsia" w:hint="eastAsia"/>
          <w:color w:val="000000"/>
        </w:rPr>
        <w:t>後該判決發生變異使</w:t>
      </w:r>
      <w:r>
        <w:rPr>
          <w:rFonts w:asciiTheme="minorEastAsia" w:eastAsiaTheme="minorEastAsia" w:hAnsiTheme="minorEastAsia" w:hint="eastAsia"/>
          <w:color w:val="000000"/>
        </w:rPr>
        <w:t>前婚仍有效，後婚將因違反重婚之規定而無效。但為避免後婚姻之當事人乃善意信賴</w:t>
      </w:r>
      <w:r w:rsidR="00FF3B03">
        <w:rPr>
          <w:rFonts w:asciiTheme="minorEastAsia" w:eastAsiaTheme="minorEastAsia" w:hAnsiTheme="minorEastAsia" w:hint="eastAsia"/>
          <w:color w:val="000000"/>
        </w:rPr>
        <w:t>判決</w:t>
      </w:r>
      <w:r>
        <w:rPr>
          <w:rFonts w:asciiTheme="minorEastAsia" w:eastAsiaTheme="minorEastAsia" w:hAnsiTheme="minorEastAsia" w:hint="eastAsia"/>
          <w:color w:val="000000"/>
        </w:rPr>
        <w:t>之外觀而為重婚，釋字第362號表示，「</w:t>
      </w:r>
      <w:r w:rsidR="00FF3B03">
        <w:rPr>
          <w:rFonts w:asciiTheme="minorEastAsia" w:eastAsiaTheme="minorEastAsia" w:hAnsiTheme="minorEastAsia" w:hint="eastAsia"/>
          <w:color w:val="000000"/>
        </w:rPr>
        <w:t>如前婚姻關係已因確定判決而消滅，第三人本於善意且無過失，信賴該離婚判決，後該判決又變異使前婚有效，基於信賴保護因致使前後婚姻同時存在，則重婚之他方，自得依法請求離婚</w:t>
      </w:r>
      <w:r>
        <w:rPr>
          <w:rFonts w:asciiTheme="minorEastAsia" w:eastAsiaTheme="minorEastAsia" w:hAnsiTheme="minorEastAsia" w:hint="eastAsia"/>
          <w:color w:val="000000"/>
        </w:rPr>
        <w:t>」</w:t>
      </w:r>
      <w:r w:rsidR="00FF3B03">
        <w:rPr>
          <w:rFonts w:asciiTheme="minorEastAsia" w:eastAsiaTheme="minorEastAsia" w:hAnsiTheme="minorEastAsia" w:hint="eastAsia"/>
          <w:color w:val="000000"/>
        </w:rPr>
        <w:t>。而後釋字第552號又為補充說明，其表示「因婚姻涉及身分之變更而具有公益性，若僅重婚相對人具善意且無過失，尚不足維持婚姻之效力，須重婚之雙方當事人均善意且無過失時，後婚姻之效力始能維持」，故此後要求須重婚之雙方當事人均為善意且無過失，後婚始為有效。基於釋字第552號之意旨，民國96年修法後，始民法第988條第3款增訂但書，即「</w:t>
      </w:r>
      <w:r w:rsidR="00FF3B03">
        <w:rPr>
          <w:rFonts w:hint="eastAsia"/>
          <w:color w:val="000000"/>
          <w:sz w:val="23"/>
          <w:szCs w:val="23"/>
        </w:rPr>
        <w:t>但重婚之雙方當事人因善意且無過失信賴一方前婚姻消滅之兩願離婚登記或離婚確定判決而結婚者，不在此限</w:t>
      </w:r>
      <w:r w:rsidR="00FF3B03">
        <w:rPr>
          <w:rFonts w:asciiTheme="minorEastAsia" w:eastAsiaTheme="minorEastAsia" w:hAnsiTheme="minorEastAsia" w:hint="eastAsia"/>
          <w:color w:val="000000"/>
        </w:rPr>
        <w:t>」，而此但書規定將因親屬法施行細則第4條之1之規定具有溯及效力，使修法前之重婚亦可適用該規定。</w:t>
      </w:r>
    </w:p>
    <w:p w:rsidR="009F6AFE" w:rsidRDefault="009F6AFE" w:rsidP="009F6AFE">
      <w:pPr>
        <w:pStyle w:val="HTMLPreformatted"/>
        <w:shd w:val="clear" w:color="auto" w:fill="FFFFFF"/>
        <w:spacing w:line="315" w:lineRule="atLeast"/>
        <w:ind w:left="360"/>
        <w:rPr>
          <w:color w:val="000000"/>
          <w:sz w:val="23"/>
          <w:szCs w:val="23"/>
        </w:rPr>
      </w:pPr>
    </w:p>
    <w:p w:rsidR="009F6AFE" w:rsidRDefault="009F6AFE" w:rsidP="00FF3B03">
      <w:pPr>
        <w:pStyle w:val="HTMLPreformatted"/>
        <w:numPr>
          <w:ilvl w:val="0"/>
          <w:numId w:val="7"/>
        </w:numPr>
        <w:shd w:val="clear" w:color="auto" w:fill="FFFFFF"/>
        <w:spacing w:line="315" w:lineRule="atLeast"/>
        <w:rPr>
          <w:color w:val="000000"/>
          <w:sz w:val="23"/>
          <w:szCs w:val="23"/>
        </w:rPr>
      </w:pPr>
      <w:r>
        <w:rPr>
          <w:rFonts w:hint="eastAsia"/>
          <w:color w:val="000000"/>
          <w:sz w:val="23"/>
          <w:szCs w:val="23"/>
        </w:rPr>
        <w:t>於本件，</w:t>
      </w:r>
      <w:r w:rsidR="008167FE">
        <w:rPr>
          <w:rFonts w:hint="eastAsia"/>
          <w:color w:val="000000"/>
          <w:sz w:val="23"/>
          <w:szCs w:val="23"/>
        </w:rPr>
        <w:t>雖丙主張前協議離婚無效，故前婚存在，甲、乙之婚姻將因違反重婚規定而無效。但因證人是丙找來的而甲並未與其聯繫過，此時甲就該協議離婚</w:t>
      </w:r>
      <w:r w:rsidR="008167FE">
        <w:rPr>
          <w:rFonts w:hint="eastAsia"/>
          <w:color w:val="000000"/>
          <w:sz w:val="23"/>
          <w:szCs w:val="23"/>
        </w:rPr>
        <w:lastRenderedPageBreak/>
        <w:t>無效乃善意不知情，且因證人非為其所接洽故甲就此部分亦無過失，</w:t>
      </w:r>
      <w:r w:rsidR="004070E1">
        <w:rPr>
          <w:rFonts w:hint="eastAsia"/>
          <w:color w:val="000000"/>
          <w:sz w:val="23"/>
          <w:szCs w:val="23"/>
        </w:rPr>
        <w:t>而</w:t>
      </w:r>
      <w:bookmarkStart w:id="0" w:name="_GoBack"/>
      <w:bookmarkEnd w:id="0"/>
      <w:r w:rsidR="008167FE">
        <w:rPr>
          <w:rFonts w:hint="eastAsia"/>
          <w:color w:val="000000"/>
          <w:sz w:val="23"/>
          <w:szCs w:val="23"/>
        </w:rPr>
        <w:t>乙就此部分當亦為善意且無過失，甲、乙自可主張有合於民法第988條第3款但書之規定，使期間之後婚有效。雖甲、乙之結婚在民國92年即增訂上開但書前，然基於親屬法施行細則第4條之1的溯及規定，甲、乙仍可適用該但書之規定而使其間之婚姻有效。</w:t>
      </w:r>
    </w:p>
    <w:p w:rsidR="008167FE" w:rsidRDefault="008167FE" w:rsidP="008167FE">
      <w:pPr>
        <w:pStyle w:val="ListParagraph"/>
        <w:rPr>
          <w:rFonts w:hint="eastAsia"/>
          <w:color w:val="000000"/>
          <w:sz w:val="23"/>
          <w:szCs w:val="23"/>
        </w:rPr>
      </w:pPr>
    </w:p>
    <w:p w:rsidR="008167FE" w:rsidRPr="00FF3B03" w:rsidRDefault="008167FE" w:rsidP="008167FE">
      <w:pPr>
        <w:pStyle w:val="HTMLPreformatted"/>
        <w:numPr>
          <w:ilvl w:val="0"/>
          <w:numId w:val="7"/>
        </w:numPr>
        <w:shd w:val="clear" w:color="auto" w:fill="FFFFFF"/>
        <w:spacing w:line="315" w:lineRule="atLeast"/>
        <w:rPr>
          <w:rFonts w:hint="eastAsia"/>
          <w:color w:val="000000"/>
          <w:sz w:val="23"/>
          <w:szCs w:val="23"/>
        </w:rPr>
      </w:pPr>
      <w:r>
        <w:rPr>
          <w:rFonts w:hint="eastAsia"/>
          <w:color w:val="000000"/>
          <w:sz w:val="23"/>
          <w:szCs w:val="23"/>
        </w:rPr>
        <w:t>又民法第988條之1有定，</w:t>
      </w:r>
      <w:r>
        <w:rPr>
          <w:rFonts w:hint="eastAsia"/>
          <w:color w:val="000000"/>
          <w:sz w:val="23"/>
          <w:szCs w:val="23"/>
        </w:rPr>
        <w:t>前條第三款但書之情形，前婚姻自後婚姻成立之日起視為消滅。</w:t>
      </w:r>
      <w:r>
        <w:rPr>
          <w:rFonts w:hint="eastAsia"/>
          <w:color w:val="000000"/>
          <w:sz w:val="23"/>
          <w:szCs w:val="23"/>
        </w:rPr>
        <w:t>此時既甲、乙之婚姻合於民法第988條第3款但書之規定，則按本條文，甲、丙之前婚自甲、乙後婚成立之日起視為消滅。</w:t>
      </w:r>
    </w:p>
    <w:sectPr w:rsidR="008167FE" w:rsidRPr="00FF3B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31172"/>
    <w:multiLevelType w:val="hybridMultilevel"/>
    <w:tmpl w:val="774279C4"/>
    <w:lvl w:ilvl="0" w:tplc="697C1686">
      <w:start w:val="1"/>
      <w:numFmt w:val="decimal"/>
      <w:lvlText w:val="%1."/>
      <w:lvlJc w:val="left"/>
      <w:pPr>
        <w:ind w:left="360" w:hanging="360"/>
      </w:pPr>
      <w:rPr>
        <w:rFonts w:ascii="細明體" w:eastAsia="細明體" w:hAnsi="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6427E7"/>
    <w:multiLevelType w:val="hybridMultilevel"/>
    <w:tmpl w:val="E1AC26D8"/>
    <w:lvl w:ilvl="0" w:tplc="2DD0D6A4">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BB240E"/>
    <w:multiLevelType w:val="hybridMultilevel"/>
    <w:tmpl w:val="76783876"/>
    <w:lvl w:ilvl="0" w:tplc="06E86028">
      <w:start w:val="1"/>
      <w:numFmt w:val="decimal"/>
      <w:lvlText w:val="%1."/>
      <w:lvlJc w:val="left"/>
      <w:pPr>
        <w:ind w:left="360" w:hanging="360"/>
      </w:pPr>
      <w:rPr>
        <w:rFonts w:asciiTheme="minorEastAsia" w:eastAsiaTheme="minorEastAsia" w:hAnsi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FF59E0"/>
    <w:multiLevelType w:val="hybridMultilevel"/>
    <w:tmpl w:val="5B542F20"/>
    <w:lvl w:ilvl="0" w:tplc="F9C82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682919"/>
    <w:multiLevelType w:val="hybridMultilevel"/>
    <w:tmpl w:val="D57A4D20"/>
    <w:lvl w:ilvl="0" w:tplc="A3267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0103BA"/>
    <w:multiLevelType w:val="hybridMultilevel"/>
    <w:tmpl w:val="2808473E"/>
    <w:lvl w:ilvl="0" w:tplc="84821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62528F0"/>
    <w:multiLevelType w:val="hybridMultilevel"/>
    <w:tmpl w:val="2DFECDCA"/>
    <w:lvl w:ilvl="0" w:tplc="C038D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18"/>
    <w:rsid w:val="0006641B"/>
    <w:rsid w:val="003C3646"/>
    <w:rsid w:val="003C3DBE"/>
    <w:rsid w:val="004070E1"/>
    <w:rsid w:val="00426A78"/>
    <w:rsid w:val="004B793E"/>
    <w:rsid w:val="00612E43"/>
    <w:rsid w:val="00680182"/>
    <w:rsid w:val="008141CD"/>
    <w:rsid w:val="008167FE"/>
    <w:rsid w:val="008B068E"/>
    <w:rsid w:val="009C7118"/>
    <w:rsid w:val="009F6AFE"/>
    <w:rsid w:val="00AA6D5F"/>
    <w:rsid w:val="00BD590A"/>
    <w:rsid w:val="00BE11A0"/>
    <w:rsid w:val="00C604C4"/>
    <w:rsid w:val="00C7773A"/>
    <w:rsid w:val="00D22AAD"/>
    <w:rsid w:val="00FF3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BD513-7DF4-4AA9-A304-B26C8ECA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182"/>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0182"/>
    <w:pPr>
      <w:ind w:leftChars="200" w:left="480"/>
    </w:pPr>
    <w:rPr>
      <w:rFonts w:ascii="Calibri" w:hAnsi="Calibri" w:cs="Calibri"/>
    </w:rPr>
  </w:style>
  <w:style w:type="paragraph" w:styleId="HTMLPreformatted">
    <w:name w:val="HTML Preformatted"/>
    <w:basedOn w:val="Normal"/>
    <w:link w:val="HTMLPreformattedChar"/>
    <w:uiPriority w:val="99"/>
    <w:unhideWhenUsed/>
    <w:rsid w:val="006801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rsid w:val="00680182"/>
    <w:rPr>
      <w:rFonts w:ascii="細明體" w:eastAsia="細明體" w:hAnsi="細明體" w:cs="細明體"/>
      <w:kern w:val="0"/>
      <w:szCs w:val="24"/>
    </w:rPr>
  </w:style>
  <w:style w:type="character" w:styleId="CommentReference">
    <w:name w:val="annotation reference"/>
    <w:basedOn w:val="DefaultParagraphFont"/>
    <w:uiPriority w:val="99"/>
    <w:semiHidden/>
    <w:unhideWhenUsed/>
    <w:rsid w:val="00680182"/>
    <w:rPr>
      <w:sz w:val="18"/>
      <w:szCs w:val="18"/>
    </w:rPr>
  </w:style>
  <w:style w:type="paragraph" w:styleId="CommentText">
    <w:name w:val="annotation text"/>
    <w:basedOn w:val="Normal"/>
    <w:link w:val="CommentTextChar"/>
    <w:uiPriority w:val="99"/>
    <w:semiHidden/>
    <w:unhideWhenUsed/>
    <w:rsid w:val="00680182"/>
  </w:style>
  <w:style w:type="character" w:customStyle="1" w:styleId="CommentTextChar">
    <w:name w:val="Comment Text Char"/>
    <w:basedOn w:val="DefaultParagraphFont"/>
    <w:link w:val="CommentText"/>
    <w:uiPriority w:val="99"/>
    <w:semiHidden/>
    <w:rsid w:val="00680182"/>
    <w:rPr>
      <w:rFonts w:ascii="Times New Roman" w:eastAsia="新細明體" w:hAnsi="Times New Roman" w:cs="Times New Roman"/>
      <w:szCs w:val="24"/>
    </w:rPr>
  </w:style>
  <w:style w:type="paragraph" w:styleId="CommentSubject">
    <w:name w:val="annotation subject"/>
    <w:basedOn w:val="CommentText"/>
    <w:next w:val="CommentText"/>
    <w:link w:val="CommentSubjectChar"/>
    <w:uiPriority w:val="99"/>
    <w:semiHidden/>
    <w:unhideWhenUsed/>
    <w:rsid w:val="00680182"/>
    <w:rPr>
      <w:b/>
      <w:bCs/>
    </w:rPr>
  </w:style>
  <w:style w:type="character" w:customStyle="1" w:styleId="CommentSubjectChar">
    <w:name w:val="Comment Subject Char"/>
    <w:basedOn w:val="CommentTextChar"/>
    <w:link w:val="CommentSubject"/>
    <w:uiPriority w:val="99"/>
    <w:semiHidden/>
    <w:rsid w:val="00680182"/>
    <w:rPr>
      <w:rFonts w:ascii="Times New Roman" w:eastAsia="新細明體" w:hAnsi="Times New Roman" w:cs="Times New Roman"/>
      <w:b/>
      <w:bCs/>
      <w:szCs w:val="24"/>
    </w:rPr>
  </w:style>
  <w:style w:type="paragraph" w:styleId="BalloonText">
    <w:name w:val="Balloon Text"/>
    <w:basedOn w:val="Normal"/>
    <w:link w:val="BalloonTextChar"/>
    <w:uiPriority w:val="99"/>
    <w:semiHidden/>
    <w:unhideWhenUsed/>
    <w:rsid w:val="0068018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80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3611">
      <w:bodyDiv w:val="1"/>
      <w:marLeft w:val="0"/>
      <w:marRight w:val="0"/>
      <w:marTop w:val="0"/>
      <w:marBottom w:val="0"/>
      <w:divBdr>
        <w:top w:val="none" w:sz="0" w:space="0" w:color="auto"/>
        <w:left w:val="none" w:sz="0" w:space="0" w:color="auto"/>
        <w:bottom w:val="none" w:sz="0" w:space="0" w:color="auto"/>
        <w:right w:val="none" w:sz="0" w:space="0" w:color="auto"/>
      </w:divBdr>
    </w:div>
    <w:div w:id="38941422">
      <w:bodyDiv w:val="1"/>
      <w:marLeft w:val="0"/>
      <w:marRight w:val="0"/>
      <w:marTop w:val="0"/>
      <w:marBottom w:val="0"/>
      <w:divBdr>
        <w:top w:val="none" w:sz="0" w:space="0" w:color="auto"/>
        <w:left w:val="none" w:sz="0" w:space="0" w:color="auto"/>
        <w:bottom w:val="none" w:sz="0" w:space="0" w:color="auto"/>
        <w:right w:val="none" w:sz="0" w:space="0" w:color="auto"/>
      </w:divBdr>
    </w:div>
    <w:div w:id="579679246">
      <w:bodyDiv w:val="1"/>
      <w:marLeft w:val="0"/>
      <w:marRight w:val="0"/>
      <w:marTop w:val="0"/>
      <w:marBottom w:val="0"/>
      <w:divBdr>
        <w:top w:val="none" w:sz="0" w:space="0" w:color="auto"/>
        <w:left w:val="none" w:sz="0" w:space="0" w:color="auto"/>
        <w:bottom w:val="none" w:sz="0" w:space="0" w:color="auto"/>
        <w:right w:val="none" w:sz="0" w:space="0" w:color="auto"/>
      </w:divBdr>
    </w:div>
    <w:div w:id="747651913">
      <w:bodyDiv w:val="1"/>
      <w:marLeft w:val="0"/>
      <w:marRight w:val="0"/>
      <w:marTop w:val="0"/>
      <w:marBottom w:val="0"/>
      <w:divBdr>
        <w:top w:val="none" w:sz="0" w:space="0" w:color="auto"/>
        <w:left w:val="none" w:sz="0" w:space="0" w:color="auto"/>
        <w:bottom w:val="none" w:sz="0" w:space="0" w:color="auto"/>
        <w:right w:val="none" w:sz="0" w:space="0" w:color="auto"/>
      </w:divBdr>
    </w:div>
    <w:div w:id="807629466">
      <w:bodyDiv w:val="1"/>
      <w:marLeft w:val="0"/>
      <w:marRight w:val="0"/>
      <w:marTop w:val="0"/>
      <w:marBottom w:val="0"/>
      <w:divBdr>
        <w:top w:val="none" w:sz="0" w:space="0" w:color="auto"/>
        <w:left w:val="none" w:sz="0" w:space="0" w:color="auto"/>
        <w:bottom w:val="none" w:sz="0" w:space="0" w:color="auto"/>
        <w:right w:val="none" w:sz="0" w:space="0" w:color="auto"/>
      </w:divBdr>
    </w:div>
    <w:div w:id="878471504">
      <w:bodyDiv w:val="1"/>
      <w:marLeft w:val="0"/>
      <w:marRight w:val="0"/>
      <w:marTop w:val="0"/>
      <w:marBottom w:val="0"/>
      <w:divBdr>
        <w:top w:val="none" w:sz="0" w:space="0" w:color="auto"/>
        <w:left w:val="none" w:sz="0" w:space="0" w:color="auto"/>
        <w:bottom w:val="none" w:sz="0" w:space="0" w:color="auto"/>
        <w:right w:val="none" w:sz="0" w:space="0" w:color="auto"/>
      </w:divBdr>
    </w:div>
    <w:div w:id="881743753">
      <w:bodyDiv w:val="1"/>
      <w:marLeft w:val="0"/>
      <w:marRight w:val="0"/>
      <w:marTop w:val="0"/>
      <w:marBottom w:val="0"/>
      <w:divBdr>
        <w:top w:val="none" w:sz="0" w:space="0" w:color="auto"/>
        <w:left w:val="none" w:sz="0" w:space="0" w:color="auto"/>
        <w:bottom w:val="none" w:sz="0" w:space="0" w:color="auto"/>
        <w:right w:val="none" w:sz="0" w:space="0" w:color="auto"/>
      </w:divBdr>
    </w:div>
    <w:div w:id="1178495285">
      <w:bodyDiv w:val="1"/>
      <w:marLeft w:val="0"/>
      <w:marRight w:val="0"/>
      <w:marTop w:val="0"/>
      <w:marBottom w:val="0"/>
      <w:divBdr>
        <w:top w:val="none" w:sz="0" w:space="0" w:color="auto"/>
        <w:left w:val="none" w:sz="0" w:space="0" w:color="auto"/>
        <w:bottom w:val="none" w:sz="0" w:space="0" w:color="auto"/>
        <w:right w:val="none" w:sz="0" w:space="0" w:color="auto"/>
      </w:divBdr>
    </w:div>
    <w:div w:id="1199775905">
      <w:bodyDiv w:val="1"/>
      <w:marLeft w:val="0"/>
      <w:marRight w:val="0"/>
      <w:marTop w:val="0"/>
      <w:marBottom w:val="0"/>
      <w:divBdr>
        <w:top w:val="none" w:sz="0" w:space="0" w:color="auto"/>
        <w:left w:val="none" w:sz="0" w:space="0" w:color="auto"/>
        <w:bottom w:val="none" w:sz="0" w:space="0" w:color="auto"/>
        <w:right w:val="none" w:sz="0" w:space="0" w:color="auto"/>
      </w:divBdr>
    </w:div>
    <w:div w:id="1468283958">
      <w:bodyDiv w:val="1"/>
      <w:marLeft w:val="0"/>
      <w:marRight w:val="0"/>
      <w:marTop w:val="0"/>
      <w:marBottom w:val="0"/>
      <w:divBdr>
        <w:top w:val="none" w:sz="0" w:space="0" w:color="auto"/>
        <w:left w:val="none" w:sz="0" w:space="0" w:color="auto"/>
        <w:bottom w:val="none" w:sz="0" w:space="0" w:color="auto"/>
        <w:right w:val="none" w:sz="0" w:space="0" w:color="auto"/>
      </w:divBdr>
    </w:div>
    <w:div w:id="1643339773">
      <w:bodyDiv w:val="1"/>
      <w:marLeft w:val="0"/>
      <w:marRight w:val="0"/>
      <w:marTop w:val="0"/>
      <w:marBottom w:val="0"/>
      <w:divBdr>
        <w:top w:val="none" w:sz="0" w:space="0" w:color="auto"/>
        <w:left w:val="none" w:sz="0" w:space="0" w:color="auto"/>
        <w:bottom w:val="none" w:sz="0" w:space="0" w:color="auto"/>
        <w:right w:val="none" w:sz="0" w:space="0" w:color="auto"/>
      </w:divBdr>
    </w:div>
    <w:div w:id="1962611314">
      <w:bodyDiv w:val="1"/>
      <w:marLeft w:val="0"/>
      <w:marRight w:val="0"/>
      <w:marTop w:val="0"/>
      <w:marBottom w:val="0"/>
      <w:divBdr>
        <w:top w:val="none" w:sz="0" w:space="0" w:color="auto"/>
        <w:left w:val="none" w:sz="0" w:space="0" w:color="auto"/>
        <w:bottom w:val="none" w:sz="0" w:space="0" w:color="auto"/>
        <w:right w:val="none" w:sz="0" w:space="0" w:color="auto"/>
      </w:divBdr>
    </w:div>
    <w:div w:id="2019504074">
      <w:bodyDiv w:val="1"/>
      <w:marLeft w:val="0"/>
      <w:marRight w:val="0"/>
      <w:marTop w:val="0"/>
      <w:marBottom w:val="0"/>
      <w:divBdr>
        <w:top w:val="none" w:sz="0" w:space="0" w:color="auto"/>
        <w:left w:val="none" w:sz="0" w:space="0" w:color="auto"/>
        <w:bottom w:val="none" w:sz="0" w:space="0" w:color="auto"/>
        <w:right w:val="none" w:sz="0" w:space="0" w:color="auto"/>
      </w:divBdr>
    </w:div>
    <w:div w:id="20660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14</cp:revision>
  <dcterms:created xsi:type="dcterms:W3CDTF">2014-12-29T13:07:00Z</dcterms:created>
  <dcterms:modified xsi:type="dcterms:W3CDTF">2014-12-29T15:59:00Z</dcterms:modified>
</cp:coreProperties>
</file>