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5864" w:rsidRDefault="008B67F8" w:rsidP="00465864">
      <w:pPr>
        <w:snapToGrid w:val="0"/>
        <w:jc w:val="both"/>
        <w:rPr>
          <w:rFonts w:eastAsia="標楷體"/>
          <w:sz w:val="28"/>
          <w:szCs w:val="28"/>
        </w:rPr>
      </w:pP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範例演練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: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某公司生產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G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與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H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兩種貨品，生產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G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貨品必須用到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6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單位的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A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原料及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3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單位的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B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原料，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生產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H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貨品必須用到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5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單位的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A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原料及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6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單位的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B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原料。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生產一個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G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貨品的邊際利潤為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3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元，生產一個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H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貨品的邊際利潤為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4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元。因業務之需要，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H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產品至少要生產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1000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個單位。公司在本期間最多</w:t>
      </w:r>
      <w:proofErr w:type="gramStart"/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祇</w:t>
      </w:r>
      <w:proofErr w:type="gramEnd"/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能取得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10000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單位的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A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原料及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9000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單位的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B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原料。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請利用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Excel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規劃求解的功能，求出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G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與</w:t>
      </w:r>
      <w:r w:rsidRPr="00465864">
        <w:rPr>
          <w:rFonts w:eastAsia="標楷體"/>
          <w:b w:val="0"/>
          <w:bCs/>
          <w:sz w:val="28"/>
          <w:szCs w:val="28"/>
          <w:u w:val="none"/>
        </w:rPr>
        <w:t>H</w:t>
      </w:r>
      <w:r w:rsidRPr="00465864">
        <w:rPr>
          <w:rFonts w:eastAsia="標楷體" w:hAnsi="標楷體"/>
          <w:b w:val="0"/>
          <w:bCs/>
          <w:sz w:val="28"/>
          <w:szCs w:val="28"/>
          <w:u w:val="none"/>
        </w:rPr>
        <w:t>兩種貨品最佳產能下之公司最大利潤。</w:t>
      </w:r>
    </w:p>
    <w:sectPr w:rsidR="00000000" w:rsidRPr="004658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5864"/>
    <w:rsid w:val="00465864"/>
    <w:rsid w:val="008B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b/>
      <w:sz w:val="4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範例演練:某公司生產G與H兩種貨品，生產G貨品必須用到：6單位的A原料及3單位的B原料，生產H貨品必須用到：5單位的A原料及6單位的B原料</vt:lpstr>
    </vt:vector>
  </TitlesOfParts>
  <Company>NTPU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範例演練:某公司生產G與H兩種貨品，生產G貨品必須用到：6單位的A原料及3單位的B原料，生產H貨品必須用到：5單位的A原料及6單位的B原料</dc:title>
  <dc:subject/>
  <dc:creator>juang</dc:creator>
  <cp:keywords/>
  <dc:description/>
  <cp:lastModifiedBy>TongYing Juang</cp:lastModifiedBy>
  <cp:revision>2</cp:revision>
  <dcterms:created xsi:type="dcterms:W3CDTF">2010-10-15T10:12:00Z</dcterms:created>
  <dcterms:modified xsi:type="dcterms:W3CDTF">2010-10-15T10:12:00Z</dcterms:modified>
</cp:coreProperties>
</file>