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B6" w:rsidRDefault="004F299D" w:rsidP="004F299D">
      <w:pPr>
        <w:pStyle w:val="1"/>
        <w:spacing w:before="180" w:after="180" w:line="460" w:lineRule="exact"/>
        <w:jc w:val="both"/>
        <w:rPr>
          <w:rFonts w:hint="eastAsia"/>
        </w:rPr>
      </w:pPr>
      <w:bookmarkStart w:id="0" w:name="_Toc418243426"/>
      <w:bookmarkStart w:id="1" w:name="_Toc419124236"/>
      <w:r w:rsidRPr="003C7F13">
        <w:rPr>
          <w:rFonts w:ascii="標楷體" w:eastAsia="標楷體" w:hAnsi="標楷體" w:hint="eastAsia"/>
          <w:sz w:val="28"/>
          <w:szCs w:val="28"/>
          <w:bdr w:val="single" w:sz="4" w:space="0" w:color="auto"/>
        </w:rPr>
        <w:t>編號：</w:t>
      </w:r>
      <w:bookmarkEnd w:id="0"/>
      <w:bookmarkEnd w:id="1"/>
      <w:r>
        <w:rPr>
          <w:rFonts w:ascii="標楷體" w:eastAsia="標楷體" w:hAnsi="標楷體" w:hint="eastAsia"/>
          <w:sz w:val="28"/>
          <w:szCs w:val="28"/>
          <w:bdr w:val="single" w:sz="4" w:space="0" w:color="auto"/>
        </w:rPr>
        <w:t xml:space="preserve">1 </w:t>
      </w:r>
      <w:r w:rsidR="003B27B6" w:rsidRPr="003B27B6">
        <w:rPr>
          <w:rFonts w:hint="eastAsia"/>
        </w:rPr>
        <w:t>票據原因關係抗辯之舉證責任</w:t>
      </w:r>
    </w:p>
    <w:p w:rsidR="003B27B6" w:rsidRDefault="003B27B6" w:rsidP="003B27B6"/>
    <w:p w:rsidR="003B27B6" w:rsidRDefault="003B27B6" w:rsidP="003B27B6">
      <w:pPr>
        <w:rPr>
          <w:rFonts w:hint="eastAsia"/>
        </w:rPr>
      </w:pPr>
      <w:r>
        <w:rPr>
          <w:rFonts w:hint="eastAsia"/>
        </w:rPr>
        <w:t>最高法院</w:t>
      </w:r>
      <w:proofErr w:type="gramStart"/>
      <w:r>
        <w:rPr>
          <w:rFonts w:hint="eastAsia"/>
        </w:rPr>
        <w:t>105</w:t>
      </w:r>
      <w:r>
        <w:rPr>
          <w:rFonts w:hint="eastAsia"/>
        </w:rPr>
        <w:t>年台簡上</w:t>
      </w:r>
      <w:proofErr w:type="gramEnd"/>
      <w:r>
        <w:rPr>
          <w:rFonts w:hint="eastAsia"/>
        </w:rPr>
        <w:t>字第</w:t>
      </w:r>
      <w:r>
        <w:rPr>
          <w:rFonts w:hint="eastAsia"/>
        </w:rPr>
        <w:t>1</w:t>
      </w:r>
      <w:r>
        <w:rPr>
          <w:rFonts w:hint="eastAsia"/>
        </w:rPr>
        <w:t>號</w:t>
      </w:r>
      <w:r w:rsidR="0044465E" w:rsidRPr="0044465E">
        <w:rPr>
          <w:rFonts w:hint="eastAsia"/>
        </w:rPr>
        <w:t>判決</w:t>
      </w:r>
    </w:p>
    <w:p w:rsidR="003B27B6" w:rsidRDefault="003B27B6" w:rsidP="003B27B6"/>
    <w:p w:rsidR="003B27B6" w:rsidRDefault="003B27B6" w:rsidP="003B27B6">
      <w:pPr>
        <w:rPr>
          <w:rFonts w:hint="eastAsia"/>
        </w:rPr>
      </w:pPr>
      <w:r>
        <w:rPr>
          <w:rFonts w:hint="eastAsia"/>
        </w:rPr>
        <w:t xml:space="preserve"> </w:t>
      </w:r>
      <w:r>
        <w:rPr>
          <w:rFonts w:hint="eastAsia"/>
        </w:rPr>
        <w:t>按票據乃文義證券及無因證券，票據上之權利義務</w:t>
      </w:r>
      <w:proofErr w:type="gramStart"/>
      <w:r>
        <w:rPr>
          <w:rFonts w:hint="eastAsia"/>
        </w:rPr>
        <w:t>悉依票上</w:t>
      </w:r>
      <w:proofErr w:type="gramEnd"/>
      <w:r>
        <w:rPr>
          <w:rFonts w:hint="eastAsia"/>
        </w:rPr>
        <w:t>所載</w:t>
      </w:r>
      <w:proofErr w:type="gramStart"/>
      <w:r>
        <w:rPr>
          <w:rFonts w:hint="eastAsia"/>
        </w:rPr>
        <w:t>文義定之</w:t>
      </w:r>
      <w:proofErr w:type="gramEnd"/>
      <w:r>
        <w:rPr>
          <w:rFonts w:hint="eastAsia"/>
        </w:rPr>
        <w:t>，與其基礎之原因關係各自獨立，票據上權利之行使不以其原因關係存在為前提。</w:t>
      </w:r>
      <w:proofErr w:type="gramStart"/>
      <w:r>
        <w:rPr>
          <w:rFonts w:hint="eastAsia"/>
        </w:rPr>
        <w:t>執票人</w:t>
      </w:r>
      <w:proofErr w:type="gramEnd"/>
      <w:r>
        <w:rPr>
          <w:rFonts w:hint="eastAsia"/>
        </w:rPr>
        <w:t>行使票據上權利時，就其基礎之原因關係確係有效存在不負舉證責任。且若票據債務人以自己</w:t>
      </w:r>
      <w:proofErr w:type="gramStart"/>
      <w:r>
        <w:rPr>
          <w:rFonts w:hint="eastAsia"/>
        </w:rPr>
        <w:t>與執票</w:t>
      </w:r>
      <w:proofErr w:type="gramEnd"/>
      <w:r>
        <w:rPr>
          <w:rFonts w:hint="eastAsia"/>
        </w:rPr>
        <w:t>人間所存抗辯之事由</w:t>
      </w:r>
      <w:proofErr w:type="gramStart"/>
      <w:r>
        <w:rPr>
          <w:rFonts w:hint="eastAsia"/>
        </w:rPr>
        <w:t>對抗執票人</w:t>
      </w:r>
      <w:proofErr w:type="gramEnd"/>
      <w:r>
        <w:rPr>
          <w:rFonts w:hint="eastAsia"/>
        </w:rPr>
        <w:t>，依票據法第十三條規定觀之雖非法所不許，仍應先由票據債務人就該抗辯事由之基礎原因關係負舉證之責任。</w:t>
      </w:r>
      <w:proofErr w:type="gramStart"/>
      <w:r>
        <w:rPr>
          <w:rFonts w:hint="eastAsia"/>
        </w:rPr>
        <w:t>惟</w:t>
      </w:r>
      <w:proofErr w:type="gramEnd"/>
      <w:r>
        <w:rPr>
          <w:rFonts w:hint="eastAsia"/>
        </w:rPr>
        <w:t>當票據基礎之原因關係確立後，法院就此項原因關係進行實體審理時，當事人於該原因關係是否有效成立或已否消滅等事項有所爭執，即應適用各該法律關係之舉證責任分配原則，而</w:t>
      </w:r>
      <w:proofErr w:type="gramStart"/>
      <w:r>
        <w:rPr>
          <w:rFonts w:hint="eastAsia"/>
        </w:rPr>
        <w:t>非猶悉令</w:t>
      </w:r>
      <w:proofErr w:type="gramEnd"/>
      <w:r>
        <w:rPr>
          <w:rFonts w:hint="eastAsia"/>
        </w:rPr>
        <w:t>票據債務人負舉證責任。</w:t>
      </w:r>
    </w:p>
    <w:p w:rsidR="003B27B6" w:rsidRDefault="003B27B6" w:rsidP="003B27B6"/>
    <w:p w:rsidR="003B27B6" w:rsidRDefault="003B27B6" w:rsidP="003B27B6"/>
    <w:p w:rsidR="003B27B6" w:rsidRDefault="003B27B6" w:rsidP="003B27B6">
      <w:r>
        <w:t>====================================</w:t>
      </w:r>
    </w:p>
    <w:p w:rsidR="003B27B6" w:rsidRPr="004F299D" w:rsidRDefault="004F299D" w:rsidP="004F299D">
      <w:pPr>
        <w:pStyle w:val="1"/>
        <w:spacing w:before="180" w:after="180" w:line="460" w:lineRule="exact"/>
        <w:jc w:val="both"/>
        <w:rPr>
          <w:rFonts w:ascii="標楷體" w:eastAsia="標楷體" w:hAnsi="標楷體" w:hint="eastAsia"/>
          <w:sz w:val="28"/>
          <w:szCs w:val="28"/>
          <w:bdr w:val="single" w:sz="4" w:space="0" w:color="auto"/>
        </w:rPr>
      </w:pPr>
      <w:r w:rsidRPr="003C7F13">
        <w:rPr>
          <w:rFonts w:ascii="標楷體" w:eastAsia="標楷體" w:hAnsi="標楷體" w:hint="eastAsia"/>
          <w:sz w:val="28"/>
          <w:szCs w:val="28"/>
          <w:bdr w:val="single" w:sz="4" w:space="0" w:color="auto"/>
        </w:rPr>
        <w:t>編號：</w:t>
      </w:r>
      <w:r>
        <w:rPr>
          <w:rFonts w:ascii="標楷體" w:eastAsia="標楷體" w:hAnsi="標楷體" w:hint="eastAsia"/>
          <w:sz w:val="28"/>
          <w:szCs w:val="28"/>
          <w:bdr w:val="single" w:sz="4" w:space="0" w:color="auto"/>
        </w:rPr>
        <w:t xml:space="preserve">2 </w:t>
      </w:r>
      <w:r w:rsidR="003B27B6">
        <w:rPr>
          <w:rFonts w:hint="eastAsia"/>
        </w:rPr>
        <w:t>證據調查之</w:t>
      </w:r>
      <w:r w:rsidR="003B27B6" w:rsidRPr="003B27B6">
        <w:rPr>
          <w:rFonts w:hint="eastAsia"/>
        </w:rPr>
        <w:t>秘密保護程序</w:t>
      </w:r>
    </w:p>
    <w:p w:rsidR="003B27B6" w:rsidRDefault="003B27B6" w:rsidP="003B27B6">
      <w:pPr>
        <w:rPr>
          <w:rFonts w:hint="eastAsia"/>
        </w:rPr>
      </w:pPr>
    </w:p>
    <w:p w:rsidR="003B27B6" w:rsidRDefault="003B27B6" w:rsidP="003B27B6">
      <w:pPr>
        <w:rPr>
          <w:rFonts w:hint="eastAsia"/>
        </w:rPr>
      </w:pPr>
      <w:r>
        <w:rPr>
          <w:rFonts w:hint="eastAsia"/>
        </w:rPr>
        <w:t>最高法院</w:t>
      </w:r>
      <w:proofErr w:type="gramStart"/>
      <w:r>
        <w:rPr>
          <w:rFonts w:hint="eastAsia"/>
        </w:rPr>
        <w:t>102</w:t>
      </w:r>
      <w:proofErr w:type="gramEnd"/>
      <w:r>
        <w:rPr>
          <w:rFonts w:hint="eastAsia"/>
        </w:rPr>
        <w:t>年度</w:t>
      </w:r>
      <w:proofErr w:type="gramStart"/>
      <w:r>
        <w:rPr>
          <w:rFonts w:hint="eastAsia"/>
        </w:rPr>
        <w:t>臺</w:t>
      </w:r>
      <w:proofErr w:type="gramEnd"/>
      <w:r>
        <w:rPr>
          <w:rFonts w:hint="eastAsia"/>
        </w:rPr>
        <w:t>上字第</w:t>
      </w:r>
      <w:r>
        <w:rPr>
          <w:rFonts w:hint="eastAsia"/>
        </w:rPr>
        <w:t>235</w:t>
      </w:r>
      <w:r>
        <w:rPr>
          <w:rFonts w:hint="eastAsia"/>
        </w:rPr>
        <w:t>號判決</w:t>
      </w:r>
    </w:p>
    <w:p w:rsidR="003B27B6" w:rsidRDefault="003B27B6" w:rsidP="003B27B6"/>
    <w:p w:rsidR="003B27B6" w:rsidRDefault="003B27B6" w:rsidP="003B27B6">
      <w:proofErr w:type="gramStart"/>
      <w:r>
        <w:rPr>
          <w:rFonts w:hint="eastAsia"/>
        </w:rPr>
        <w:t>按卷內</w:t>
      </w:r>
      <w:proofErr w:type="gramEnd"/>
      <w:r>
        <w:rPr>
          <w:rFonts w:hint="eastAsia"/>
        </w:rPr>
        <w:t>文書涉及當事人或第三人隱私或業務秘密，如准許閱覽、抄錄或攝影，有足致其受重大損害之虞時，為保護當事人或第三人，法院雖得依民事訴訟法第二百四十二條第三項為不予准許或限制之裁定，惟應在不影響當事人行使辯論權之範圍內，始得為之（參見該條項立法理由）。原審未兼顧當事人辯論權之保障，於不影響業務秘密下，以適當之方式，賦予上訴人必要之辯論權，仍限制上訴人閱覽此部分資料且未調查辯論，並謂上訴人對於張淑青、林麥克如何知悉其產品之成本分析並據以利用，未為具體之主張及舉證，</w:t>
      </w:r>
      <w:proofErr w:type="gramStart"/>
      <w:r>
        <w:rPr>
          <w:rFonts w:hint="eastAsia"/>
        </w:rPr>
        <w:t>遽</w:t>
      </w:r>
      <w:proofErr w:type="gramEnd"/>
      <w:r>
        <w:rPr>
          <w:rFonts w:hint="eastAsia"/>
        </w:rPr>
        <w:t>為不利於上訴人之論斷，難謂無違誤，亦</w:t>
      </w:r>
      <w:proofErr w:type="gramStart"/>
      <w:r>
        <w:rPr>
          <w:rFonts w:hint="eastAsia"/>
        </w:rPr>
        <w:t>嫌速斷</w:t>
      </w:r>
      <w:proofErr w:type="gramEnd"/>
      <w:r>
        <w:rPr>
          <w:rFonts w:hint="eastAsia"/>
        </w:rPr>
        <w:t>。</w:t>
      </w:r>
    </w:p>
    <w:p w:rsidR="003B27B6" w:rsidRDefault="003B27B6" w:rsidP="003B27B6"/>
    <w:p w:rsidR="003B27B6" w:rsidRDefault="003B27B6" w:rsidP="003B27B6"/>
    <w:p w:rsidR="003B27B6" w:rsidRDefault="003B27B6" w:rsidP="003B27B6">
      <w:r>
        <w:t>====================================</w:t>
      </w:r>
    </w:p>
    <w:p w:rsidR="003B27B6" w:rsidRPr="004F299D" w:rsidRDefault="004F299D" w:rsidP="004F299D">
      <w:pPr>
        <w:pStyle w:val="1"/>
        <w:spacing w:before="180" w:after="180" w:line="460" w:lineRule="exact"/>
        <w:jc w:val="both"/>
        <w:rPr>
          <w:rFonts w:ascii="標楷體" w:eastAsia="標楷體" w:hAnsi="標楷體" w:hint="eastAsia"/>
          <w:sz w:val="28"/>
          <w:szCs w:val="28"/>
          <w:bdr w:val="single" w:sz="4" w:space="0" w:color="auto"/>
        </w:rPr>
      </w:pPr>
      <w:r w:rsidRPr="003C7F13">
        <w:rPr>
          <w:rFonts w:ascii="標楷體" w:eastAsia="標楷體" w:hAnsi="標楷體" w:hint="eastAsia"/>
          <w:sz w:val="28"/>
          <w:szCs w:val="28"/>
          <w:bdr w:val="single" w:sz="4" w:space="0" w:color="auto"/>
        </w:rPr>
        <w:t>編號：</w:t>
      </w:r>
      <w:r>
        <w:rPr>
          <w:rFonts w:ascii="標楷體" w:eastAsia="標楷體" w:hAnsi="標楷體" w:hint="eastAsia"/>
          <w:sz w:val="28"/>
          <w:szCs w:val="28"/>
          <w:bdr w:val="single" w:sz="4" w:space="0" w:color="auto"/>
        </w:rPr>
        <w:t>3</w:t>
      </w:r>
      <w:r w:rsidR="003B27B6" w:rsidRPr="003B27B6">
        <w:rPr>
          <w:rFonts w:hint="eastAsia"/>
        </w:rPr>
        <w:t>自認及擬制自認之</w:t>
      </w:r>
      <w:r w:rsidR="003B27B6">
        <w:rPr>
          <w:rFonts w:hint="eastAsia"/>
        </w:rPr>
        <w:t>區分</w:t>
      </w:r>
    </w:p>
    <w:p w:rsidR="003B27B6" w:rsidRDefault="003B27B6" w:rsidP="003B27B6"/>
    <w:p w:rsidR="003B27B6" w:rsidRDefault="003B27B6" w:rsidP="003B27B6">
      <w:pPr>
        <w:rPr>
          <w:rFonts w:hint="eastAsia"/>
        </w:rPr>
      </w:pPr>
      <w:r>
        <w:rPr>
          <w:rFonts w:hint="eastAsia"/>
        </w:rPr>
        <w:t>最高法院</w:t>
      </w:r>
      <w:r>
        <w:rPr>
          <w:rFonts w:hint="eastAsia"/>
        </w:rPr>
        <w:t xml:space="preserve"> </w:t>
      </w:r>
      <w:proofErr w:type="gramStart"/>
      <w:r>
        <w:rPr>
          <w:rFonts w:hint="eastAsia"/>
        </w:rPr>
        <w:t>106</w:t>
      </w:r>
      <w:proofErr w:type="gramEnd"/>
      <w:r>
        <w:rPr>
          <w:rFonts w:hint="eastAsia"/>
        </w:rPr>
        <w:t>年度台上字第</w:t>
      </w:r>
      <w:r>
        <w:rPr>
          <w:rFonts w:hint="eastAsia"/>
        </w:rPr>
        <w:t>258</w:t>
      </w:r>
      <w:r>
        <w:rPr>
          <w:rFonts w:hint="eastAsia"/>
        </w:rPr>
        <w:t>號判決</w:t>
      </w:r>
    </w:p>
    <w:p w:rsidR="003B27B6" w:rsidRDefault="003B27B6" w:rsidP="003B27B6"/>
    <w:p w:rsidR="003B27B6" w:rsidRDefault="003B27B6" w:rsidP="003B27B6">
      <w:pPr>
        <w:rPr>
          <w:rFonts w:hint="eastAsia"/>
        </w:rPr>
      </w:pPr>
      <w:r>
        <w:rPr>
          <w:rFonts w:hint="eastAsia"/>
        </w:rPr>
        <w:t>按當事人對於他造主張之事實，於言詞辯論時不爭執者，依民事訴訟法第二百八</w:t>
      </w:r>
      <w:r>
        <w:rPr>
          <w:rFonts w:hint="eastAsia"/>
        </w:rPr>
        <w:lastRenderedPageBreak/>
        <w:t>十條第一項之規定，視同自認。此</w:t>
      </w:r>
      <w:proofErr w:type="gramStart"/>
      <w:r>
        <w:rPr>
          <w:rFonts w:hint="eastAsia"/>
        </w:rPr>
        <w:t>之</w:t>
      </w:r>
      <w:proofErr w:type="gramEnd"/>
      <w:r>
        <w:rPr>
          <w:rFonts w:hint="eastAsia"/>
        </w:rPr>
        <w:t>所謂「不爭執」，係指不陳述爭執與否之意見而言，若已明白表示「對於他造主張之事實不爭執」，則為自認而非不爭執。在未經自認人合法撤銷其自認前，法院不得為與自認之事實相反之認定。查被上訴人已於第一審言詞辯論時表示「對原告（即上訴人）有支付地價稅、整修圍牆、清除雜草、土地登記稅等費用不爭執」（見一審卷第二○四頁），依上開說明，</w:t>
      </w:r>
      <w:proofErr w:type="gramStart"/>
      <w:r>
        <w:rPr>
          <w:rFonts w:hint="eastAsia"/>
        </w:rPr>
        <w:t>似係對</w:t>
      </w:r>
      <w:proofErr w:type="gramEnd"/>
      <w:r>
        <w:rPr>
          <w:rFonts w:hint="eastAsia"/>
        </w:rPr>
        <w:t>上訴人支出上開費用為自認。</w:t>
      </w:r>
      <w:proofErr w:type="gramStart"/>
      <w:r>
        <w:rPr>
          <w:rFonts w:hint="eastAsia"/>
        </w:rPr>
        <w:t>則倘上</w:t>
      </w:r>
      <w:proofErr w:type="gramEnd"/>
      <w:r>
        <w:rPr>
          <w:rFonts w:hint="eastAsia"/>
        </w:rPr>
        <w:t>開費用屬吳華昭受委任處理系爭土地買受事宜支出之必要費用，能否謂其不得請求被上訴人給付，尚非無疑。原審就此未詳加</w:t>
      </w:r>
      <w:proofErr w:type="gramStart"/>
      <w:r>
        <w:rPr>
          <w:rFonts w:hint="eastAsia"/>
        </w:rPr>
        <w:t>審究，遽</w:t>
      </w:r>
      <w:proofErr w:type="gramEnd"/>
      <w:r>
        <w:rPr>
          <w:rFonts w:hint="eastAsia"/>
        </w:rPr>
        <w:t>以被上訴人就上開費用僅表示不爭執，非積極自認，仍得</w:t>
      </w:r>
      <w:proofErr w:type="gramStart"/>
      <w:r>
        <w:rPr>
          <w:rFonts w:hint="eastAsia"/>
        </w:rPr>
        <w:t>隨時追復爭執</w:t>
      </w:r>
      <w:proofErr w:type="gramEnd"/>
      <w:r>
        <w:rPr>
          <w:rFonts w:hint="eastAsia"/>
        </w:rPr>
        <w:t>，進而為不利上訴人之認定，自有可議。上訴論旨，指摘原判決此部分違背法令，</w:t>
      </w:r>
      <w:proofErr w:type="gramStart"/>
      <w:r>
        <w:rPr>
          <w:rFonts w:hint="eastAsia"/>
        </w:rPr>
        <w:t>求予廢棄</w:t>
      </w:r>
      <w:proofErr w:type="gramEnd"/>
      <w:r>
        <w:rPr>
          <w:rFonts w:hint="eastAsia"/>
        </w:rPr>
        <w:t>，非無理由。</w:t>
      </w:r>
    </w:p>
    <w:p w:rsidR="003B27B6" w:rsidRDefault="003B27B6" w:rsidP="003B27B6"/>
    <w:p w:rsidR="003B27B6" w:rsidRDefault="003B27B6" w:rsidP="003B27B6"/>
    <w:p w:rsidR="003B27B6" w:rsidRDefault="003B27B6" w:rsidP="003B27B6">
      <w:r>
        <w:t>============================================</w:t>
      </w:r>
    </w:p>
    <w:p w:rsidR="004F299D" w:rsidRPr="004F299D" w:rsidRDefault="004F299D" w:rsidP="004F299D">
      <w:pPr>
        <w:pStyle w:val="1"/>
        <w:spacing w:before="180" w:after="180" w:line="460" w:lineRule="exact"/>
        <w:jc w:val="both"/>
        <w:rPr>
          <w:rFonts w:ascii="標楷體" w:eastAsia="標楷體" w:hAnsi="標楷體" w:hint="eastAsia"/>
          <w:sz w:val="28"/>
          <w:szCs w:val="28"/>
          <w:bdr w:val="single" w:sz="4" w:space="0" w:color="auto"/>
        </w:rPr>
      </w:pPr>
      <w:r w:rsidRPr="003C7F13">
        <w:rPr>
          <w:rFonts w:ascii="標楷體" w:eastAsia="標楷體" w:hAnsi="標楷體" w:hint="eastAsia"/>
          <w:sz w:val="28"/>
          <w:szCs w:val="28"/>
          <w:bdr w:val="single" w:sz="4" w:space="0" w:color="auto"/>
        </w:rPr>
        <w:t>編號：</w:t>
      </w:r>
      <w:r>
        <w:rPr>
          <w:rFonts w:ascii="標楷體" w:eastAsia="標楷體" w:hAnsi="標楷體" w:hint="eastAsia"/>
          <w:sz w:val="28"/>
          <w:szCs w:val="28"/>
          <w:bdr w:val="single" w:sz="4" w:space="0" w:color="auto"/>
        </w:rPr>
        <w:t>4</w:t>
      </w:r>
      <w:r>
        <w:rPr>
          <w:rFonts w:hint="eastAsia"/>
        </w:rPr>
        <w:t>證據共通原則</w:t>
      </w:r>
    </w:p>
    <w:p w:rsidR="004F299D" w:rsidRDefault="004F299D" w:rsidP="004F299D"/>
    <w:p w:rsidR="004F299D" w:rsidRDefault="004F299D" w:rsidP="004F299D">
      <w:pPr>
        <w:rPr>
          <w:rFonts w:hint="eastAsia"/>
        </w:rPr>
      </w:pPr>
      <w:r>
        <w:rPr>
          <w:rFonts w:hint="eastAsia"/>
        </w:rPr>
        <w:t>臺灣高等法院</w:t>
      </w:r>
      <w:r>
        <w:rPr>
          <w:rFonts w:hint="eastAsia"/>
        </w:rPr>
        <w:t xml:space="preserve"> </w:t>
      </w:r>
      <w:proofErr w:type="gramStart"/>
      <w:r>
        <w:rPr>
          <w:rFonts w:hint="eastAsia"/>
        </w:rPr>
        <w:t>105</w:t>
      </w:r>
      <w:proofErr w:type="gramEnd"/>
      <w:r>
        <w:rPr>
          <w:rFonts w:hint="eastAsia"/>
        </w:rPr>
        <w:t>年度</w:t>
      </w:r>
      <w:proofErr w:type="gramStart"/>
      <w:r>
        <w:rPr>
          <w:rFonts w:hint="eastAsia"/>
        </w:rPr>
        <w:t>上易字第</w:t>
      </w:r>
      <w:r>
        <w:rPr>
          <w:rFonts w:hint="eastAsia"/>
        </w:rPr>
        <w:t>1122</w:t>
      </w:r>
      <w:r>
        <w:rPr>
          <w:rFonts w:hint="eastAsia"/>
        </w:rPr>
        <w:t>號</w:t>
      </w:r>
      <w:proofErr w:type="gramEnd"/>
      <w:r>
        <w:rPr>
          <w:rFonts w:hint="eastAsia"/>
        </w:rPr>
        <w:t>判決</w:t>
      </w:r>
    </w:p>
    <w:p w:rsidR="004F299D" w:rsidRDefault="004F299D" w:rsidP="004F299D">
      <w:pPr>
        <w:rPr>
          <w:rFonts w:hint="eastAsia"/>
        </w:rPr>
      </w:pPr>
      <w:r>
        <w:rPr>
          <w:rFonts w:hint="eastAsia"/>
        </w:rPr>
        <w:t>當事人已證明受有損害而不能證明其數額或證明顯有重大困難者，法院應審酌一切情況，依所得</w:t>
      </w:r>
      <w:proofErr w:type="gramStart"/>
      <w:r>
        <w:rPr>
          <w:rFonts w:hint="eastAsia"/>
        </w:rPr>
        <w:t>心證定其</w:t>
      </w:r>
      <w:proofErr w:type="gramEnd"/>
      <w:r>
        <w:rPr>
          <w:rFonts w:hint="eastAsia"/>
        </w:rPr>
        <w:t>數額，民事訴訟法第</w:t>
      </w:r>
      <w:r>
        <w:rPr>
          <w:rFonts w:hint="eastAsia"/>
        </w:rPr>
        <w:t>222</w:t>
      </w:r>
      <w:r>
        <w:rPr>
          <w:rFonts w:hint="eastAsia"/>
        </w:rPr>
        <w:t>條第</w:t>
      </w:r>
      <w:r>
        <w:rPr>
          <w:rFonts w:hint="eastAsia"/>
        </w:rPr>
        <w:t>2</w:t>
      </w:r>
      <w:r>
        <w:rPr>
          <w:rFonts w:hint="eastAsia"/>
        </w:rPr>
        <w:t>項定有明文。次按民事訴訟法上所謂之證據共通原則，係指當事人聲明之證據，依其提出之證據資料，得據以為有利於他造或共同訴訟人事實之認定，該證據於兩造間或共同訴訟人間，法院</w:t>
      </w:r>
      <w:proofErr w:type="gramStart"/>
      <w:r>
        <w:rPr>
          <w:rFonts w:hint="eastAsia"/>
        </w:rPr>
        <w:t>均得共同採</w:t>
      </w:r>
      <w:proofErr w:type="gramEnd"/>
      <w:r>
        <w:rPr>
          <w:rFonts w:hint="eastAsia"/>
        </w:rPr>
        <w:t>酌，作為判決資料之基礎。此項原則側重於法院援用當事人提出之證據資料時，不受是否對該當事人有利及</w:t>
      </w:r>
      <w:proofErr w:type="gramStart"/>
      <w:r>
        <w:rPr>
          <w:rFonts w:hint="eastAsia"/>
        </w:rPr>
        <w:t>他造曾否</w:t>
      </w:r>
      <w:proofErr w:type="gramEnd"/>
      <w:r>
        <w:rPr>
          <w:rFonts w:hint="eastAsia"/>
        </w:rPr>
        <w:t>引用該證據之限制，並得斟酌全辯論意旨及調查證據之結果，在不違背論理及經驗法則前提下，依自由心證判斷事實之真偽（民事訴訟法第</w:t>
      </w:r>
      <w:r>
        <w:rPr>
          <w:rFonts w:hint="eastAsia"/>
        </w:rPr>
        <w:t>222</w:t>
      </w:r>
      <w:r>
        <w:rPr>
          <w:rFonts w:hint="eastAsia"/>
        </w:rPr>
        <w:t>條第</w:t>
      </w:r>
      <w:r>
        <w:rPr>
          <w:rFonts w:hint="eastAsia"/>
        </w:rPr>
        <w:t>1</w:t>
      </w:r>
      <w:r>
        <w:rPr>
          <w:rFonts w:hint="eastAsia"/>
        </w:rPr>
        <w:t>項、第</w:t>
      </w:r>
      <w:r>
        <w:rPr>
          <w:rFonts w:hint="eastAsia"/>
        </w:rPr>
        <w:t>3</w:t>
      </w:r>
      <w:r>
        <w:rPr>
          <w:rFonts w:hint="eastAsia"/>
        </w:rPr>
        <w:t>項「證據評價之範疇」）。此於普通共同訴訟人相互間，利害關係原各自獨立（民事訴訟法第</w:t>
      </w:r>
      <w:r>
        <w:rPr>
          <w:rFonts w:hint="eastAsia"/>
        </w:rPr>
        <w:t>55</w:t>
      </w:r>
      <w:r>
        <w:rPr>
          <w:rFonts w:hint="eastAsia"/>
        </w:rPr>
        <w:t>條），事實之真偽，僅應定於</w:t>
      </w:r>
      <w:proofErr w:type="gramStart"/>
      <w:r>
        <w:rPr>
          <w:rFonts w:hint="eastAsia"/>
        </w:rPr>
        <w:t>一</w:t>
      </w:r>
      <w:proofErr w:type="gramEnd"/>
      <w:r>
        <w:rPr>
          <w:rFonts w:hint="eastAsia"/>
        </w:rPr>
        <w:t>而有一事實存在，故於同一訴訟程序就同一事實，當作相同之認定，尤應有該原則之適用，使共同訴訟人之訴訟資料得以共通互用，並在辯論主義退讓下，貫徹上揭自由心證主義之真諦，</w:t>
      </w:r>
      <w:proofErr w:type="gramStart"/>
      <w:r>
        <w:rPr>
          <w:rFonts w:hint="eastAsia"/>
        </w:rPr>
        <w:t>以發見事實</w:t>
      </w:r>
      <w:proofErr w:type="gramEnd"/>
      <w:r>
        <w:rPr>
          <w:rFonts w:hint="eastAsia"/>
        </w:rPr>
        <w:t>之真相，於此情形，該所謂「全辯論意旨」，自包括全部共同訴訟人之陳述，除自認係依法律規定發生無庸舉證效力外，該共同訴訟人中之一人，在訴訟上對於他造主張之事實，依民事訴訟法第</w:t>
      </w:r>
      <w:r>
        <w:rPr>
          <w:rFonts w:hint="eastAsia"/>
        </w:rPr>
        <w:t>279</w:t>
      </w:r>
      <w:r>
        <w:rPr>
          <w:rFonts w:hint="eastAsia"/>
        </w:rPr>
        <w:t>條第</w:t>
      </w:r>
      <w:r>
        <w:rPr>
          <w:rFonts w:hint="eastAsia"/>
        </w:rPr>
        <w:t>1</w:t>
      </w:r>
      <w:r>
        <w:rPr>
          <w:rFonts w:hint="eastAsia"/>
        </w:rPr>
        <w:t>項或第</w:t>
      </w:r>
      <w:r>
        <w:rPr>
          <w:rFonts w:hint="eastAsia"/>
        </w:rPr>
        <w:t>280</w:t>
      </w:r>
      <w:r>
        <w:rPr>
          <w:rFonts w:hint="eastAsia"/>
        </w:rPr>
        <w:t>條第</w:t>
      </w:r>
      <w:r>
        <w:rPr>
          <w:rFonts w:hint="eastAsia"/>
        </w:rPr>
        <w:t>1</w:t>
      </w:r>
      <w:r>
        <w:rPr>
          <w:rFonts w:hint="eastAsia"/>
        </w:rPr>
        <w:t>項、第</w:t>
      </w:r>
      <w:r>
        <w:rPr>
          <w:rFonts w:hint="eastAsia"/>
        </w:rPr>
        <w:t>3</w:t>
      </w:r>
      <w:r>
        <w:rPr>
          <w:rFonts w:hint="eastAsia"/>
        </w:rPr>
        <w:t>項前段規定，所為不利於己</w:t>
      </w:r>
      <w:proofErr w:type="gramStart"/>
      <w:r>
        <w:rPr>
          <w:rFonts w:hint="eastAsia"/>
        </w:rPr>
        <w:t>之</w:t>
      </w:r>
      <w:proofErr w:type="gramEnd"/>
      <w:r>
        <w:rPr>
          <w:rFonts w:hint="eastAsia"/>
        </w:rPr>
        <w:t>「積極之自認」或「消極之擬制自認」，對其他共同訴訟</w:t>
      </w:r>
      <w:proofErr w:type="gramStart"/>
      <w:r>
        <w:rPr>
          <w:rFonts w:hint="eastAsia"/>
        </w:rPr>
        <w:t>人縱不</w:t>
      </w:r>
      <w:proofErr w:type="gramEnd"/>
      <w:r>
        <w:rPr>
          <w:rFonts w:hint="eastAsia"/>
        </w:rPr>
        <w:t>受拘束，審判法院亦未始不可據為依自由心證判斷事實真偽之參考，而非全盤否認該</w:t>
      </w:r>
      <w:proofErr w:type="gramStart"/>
      <w:r>
        <w:rPr>
          <w:rFonts w:hint="eastAsia"/>
        </w:rPr>
        <w:t>自認或擬制</w:t>
      </w:r>
      <w:proofErr w:type="gramEnd"/>
      <w:r>
        <w:rPr>
          <w:rFonts w:hint="eastAsia"/>
        </w:rPr>
        <w:t>自認之效力（最高法院</w:t>
      </w:r>
      <w:r>
        <w:rPr>
          <w:rFonts w:hint="eastAsia"/>
        </w:rPr>
        <w:t>98</w:t>
      </w:r>
      <w:r>
        <w:rPr>
          <w:rFonts w:hint="eastAsia"/>
        </w:rPr>
        <w:t>年台上字第</w:t>
      </w:r>
      <w:r>
        <w:rPr>
          <w:rFonts w:hint="eastAsia"/>
        </w:rPr>
        <w:t>1218</w:t>
      </w:r>
      <w:r>
        <w:rPr>
          <w:rFonts w:hint="eastAsia"/>
        </w:rPr>
        <w:t>號判決意旨參照）。</w:t>
      </w:r>
    </w:p>
    <w:p w:rsidR="004F299D" w:rsidRDefault="004F299D" w:rsidP="004F299D"/>
    <w:p w:rsidR="004F299D" w:rsidRDefault="004F299D" w:rsidP="004F299D"/>
    <w:p w:rsidR="004F299D" w:rsidRDefault="004F299D" w:rsidP="004F299D">
      <w:pPr>
        <w:rPr>
          <w:rFonts w:hint="eastAsia"/>
        </w:rPr>
      </w:pPr>
      <w:r>
        <w:t>====================================</w:t>
      </w:r>
    </w:p>
    <w:p w:rsidR="003B27B6" w:rsidRPr="004F299D" w:rsidRDefault="004F299D" w:rsidP="004F299D">
      <w:pPr>
        <w:pStyle w:val="1"/>
        <w:spacing w:before="180" w:after="180" w:line="460" w:lineRule="exact"/>
        <w:jc w:val="both"/>
        <w:rPr>
          <w:rFonts w:ascii="標楷體" w:eastAsia="標楷體" w:hAnsi="標楷體" w:hint="eastAsia"/>
          <w:sz w:val="28"/>
          <w:szCs w:val="28"/>
          <w:bdr w:val="single" w:sz="4" w:space="0" w:color="auto"/>
        </w:rPr>
      </w:pPr>
      <w:r w:rsidRPr="003C7F13">
        <w:rPr>
          <w:rFonts w:ascii="標楷體" w:eastAsia="標楷體" w:hAnsi="標楷體" w:hint="eastAsia"/>
          <w:sz w:val="28"/>
          <w:szCs w:val="28"/>
          <w:bdr w:val="single" w:sz="4" w:space="0" w:color="auto"/>
        </w:rPr>
        <w:lastRenderedPageBreak/>
        <w:t>編號：</w:t>
      </w:r>
      <w:r w:rsidRPr="00B87693">
        <w:rPr>
          <w:rFonts w:ascii="標楷體" w:eastAsia="標楷體" w:hAnsi="標楷體" w:hint="eastAsia"/>
          <w:sz w:val="32"/>
          <w:szCs w:val="32"/>
          <w:bdr w:val="single" w:sz="4" w:space="0" w:color="auto"/>
        </w:rPr>
        <w:t>5</w:t>
      </w:r>
      <w:r w:rsidR="003B27B6" w:rsidRPr="003B27B6">
        <w:rPr>
          <w:rFonts w:hint="eastAsia"/>
        </w:rPr>
        <w:t>違法取得證據之可利用性</w:t>
      </w:r>
    </w:p>
    <w:p w:rsidR="003B27B6" w:rsidRDefault="003B27B6" w:rsidP="003B27B6">
      <w:pPr>
        <w:rPr>
          <w:rFonts w:hint="eastAsia"/>
        </w:rPr>
      </w:pPr>
    </w:p>
    <w:p w:rsidR="003B27B6" w:rsidRDefault="003B27B6" w:rsidP="003B27B6">
      <w:pPr>
        <w:rPr>
          <w:rFonts w:hint="eastAsia"/>
        </w:rPr>
      </w:pPr>
      <w:r>
        <w:rPr>
          <w:rFonts w:hint="eastAsia"/>
        </w:rPr>
        <w:t>臺灣高等法院</w:t>
      </w:r>
      <w:r>
        <w:rPr>
          <w:rFonts w:hint="eastAsia"/>
        </w:rPr>
        <w:t>94</w:t>
      </w:r>
      <w:r>
        <w:rPr>
          <w:rFonts w:hint="eastAsia"/>
        </w:rPr>
        <w:t>年度上易字第</w:t>
      </w:r>
      <w:r>
        <w:rPr>
          <w:rFonts w:hint="eastAsia"/>
        </w:rPr>
        <w:t>243</w:t>
      </w:r>
      <w:r>
        <w:rPr>
          <w:rFonts w:hint="eastAsia"/>
        </w:rPr>
        <w:t>號判決</w:t>
      </w:r>
      <w:bookmarkStart w:id="2" w:name="_GoBack"/>
      <w:bookmarkEnd w:id="2"/>
    </w:p>
    <w:p w:rsidR="003B27B6" w:rsidRDefault="003B27B6" w:rsidP="003B27B6"/>
    <w:p w:rsidR="003B27B6" w:rsidRDefault="003B27B6" w:rsidP="003B27B6">
      <w:pPr>
        <w:rPr>
          <w:rFonts w:hint="eastAsia"/>
        </w:rPr>
      </w:pPr>
      <w:r>
        <w:rPr>
          <w:rFonts w:hint="eastAsia"/>
        </w:rPr>
        <w:t>訴訟權之保障與隱私權之保護，兩者有發生衝突可能，如因侵害隱私權而</w:t>
      </w:r>
    </w:p>
    <w:p w:rsidR="003B27B6" w:rsidRDefault="003B27B6" w:rsidP="003B27B6">
      <w:pPr>
        <w:rPr>
          <w:rFonts w:hint="eastAsia"/>
        </w:rPr>
      </w:pPr>
      <w:r>
        <w:rPr>
          <w:rFonts w:hint="eastAsia"/>
        </w:rPr>
        <w:t>取得之證據，或以不法方式取得之證據，法院應否以欠缺證據能力，予以</w:t>
      </w:r>
    </w:p>
    <w:p w:rsidR="003B27B6" w:rsidRDefault="003B27B6" w:rsidP="003B27B6">
      <w:pPr>
        <w:rPr>
          <w:rFonts w:hint="eastAsia"/>
        </w:rPr>
      </w:pPr>
      <w:r>
        <w:rPr>
          <w:rFonts w:hint="eastAsia"/>
        </w:rPr>
        <w:t>排除問題。在民刑事訴訟程序應分別看待，持不同之審查標準。民事訴訟</w:t>
      </w:r>
    </w:p>
    <w:p w:rsidR="003B27B6" w:rsidRDefault="003B27B6" w:rsidP="003B27B6">
      <w:pPr>
        <w:rPr>
          <w:rFonts w:hint="eastAsia"/>
        </w:rPr>
      </w:pPr>
      <w:r>
        <w:rPr>
          <w:rFonts w:hint="eastAsia"/>
        </w:rPr>
        <w:t>程序，對立之兩造立於公平地位，於法院面前為權利之主張與防禦，證據</w:t>
      </w:r>
    </w:p>
    <w:p w:rsidR="003B27B6" w:rsidRDefault="003B27B6" w:rsidP="003B27B6">
      <w:pPr>
        <w:rPr>
          <w:rFonts w:hint="eastAsia"/>
        </w:rPr>
      </w:pPr>
      <w:r>
        <w:rPr>
          <w:rFonts w:hint="eastAsia"/>
        </w:rPr>
        <w:t>之取得與提出，並無不對等情事，較無前述因司法權之強大作用可能造成</w:t>
      </w:r>
    </w:p>
    <w:p w:rsidR="003B27B6" w:rsidRDefault="003B27B6" w:rsidP="003B27B6">
      <w:pPr>
        <w:rPr>
          <w:rFonts w:hint="eastAsia"/>
        </w:rPr>
      </w:pPr>
      <w:r>
        <w:rPr>
          <w:rFonts w:hint="eastAsia"/>
        </w:rPr>
        <w:t>之弊端，因此證據能力之審查密度，應</w:t>
      </w:r>
      <w:proofErr w:type="gramStart"/>
      <w:r>
        <w:rPr>
          <w:rFonts w:hint="eastAsia"/>
        </w:rPr>
        <w:t>採</w:t>
      </w:r>
      <w:proofErr w:type="gramEnd"/>
      <w:r>
        <w:rPr>
          <w:rFonts w:hint="eastAsia"/>
        </w:rPr>
        <w:t>較寬鬆態度，非有重大不法情事</w:t>
      </w:r>
    </w:p>
    <w:p w:rsidR="003B27B6" w:rsidRDefault="003B27B6" w:rsidP="003B27B6">
      <w:pPr>
        <w:rPr>
          <w:rFonts w:hint="eastAsia"/>
        </w:rPr>
      </w:pPr>
      <w:r>
        <w:rPr>
          <w:rFonts w:hint="eastAsia"/>
        </w:rPr>
        <w:t>，否則不應任意以證據能力欠缺為由，為證據排除法則之援用。又社會現</w:t>
      </w:r>
    </w:p>
    <w:p w:rsidR="003B27B6" w:rsidRDefault="003B27B6" w:rsidP="003B27B6">
      <w:pPr>
        <w:rPr>
          <w:rFonts w:hint="eastAsia"/>
        </w:rPr>
      </w:pPr>
      <w:r>
        <w:rPr>
          <w:rFonts w:hint="eastAsia"/>
        </w:rPr>
        <w:t>實情況，妨害他人婚姻權益之不法行為，常以隱秘方式為之，並因隱私權</w:t>
      </w:r>
    </w:p>
    <w:p w:rsidR="003B27B6" w:rsidRDefault="003B27B6" w:rsidP="003B27B6">
      <w:pPr>
        <w:rPr>
          <w:rFonts w:hint="eastAsia"/>
        </w:rPr>
      </w:pPr>
      <w:r>
        <w:rPr>
          <w:rFonts w:hint="eastAsia"/>
        </w:rPr>
        <w:t>受保護之故，被害人舉證極度不易。在此前提下，當不法行為人之隱私權</w:t>
      </w:r>
    </w:p>
    <w:p w:rsidR="003B27B6" w:rsidRDefault="003B27B6" w:rsidP="003B27B6">
      <w:pPr>
        <w:rPr>
          <w:rFonts w:hint="eastAsia"/>
        </w:rPr>
      </w:pPr>
      <w:r>
        <w:rPr>
          <w:rFonts w:hint="eastAsia"/>
        </w:rPr>
        <w:t>與被害人之訴訟權發生衝突時，</w:t>
      </w:r>
      <w:proofErr w:type="gramStart"/>
      <w:r>
        <w:rPr>
          <w:rFonts w:hint="eastAsia"/>
        </w:rPr>
        <w:t>兩者間應為</w:t>
      </w:r>
      <w:proofErr w:type="gramEnd"/>
      <w:r>
        <w:rPr>
          <w:rFonts w:hint="eastAsia"/>
        </w:rPr>
        <w:t>一定程度之調整。以侵害隱私</w:t>
      </w:r>
    </w:p>
    <w:p w:rsidR="003B27B6" w:rsidRDefault="003B27B6" w:rsidP="003B27B6">
      <w:pPr>
        <w:rPr>
          <w:rFonts w:hint="eastAsia"/>
        </w:rPr>
      </w:pPr>
      <w:r>
        <w:rPr>
          <w:rFonts w:hint="eastAsia"/>
        </w:rPr>
        <w:t>權之方式而取得之證據排除方面，即應視證據之取得，是否符合比例原則</w:t>
      </w:r>
    </w:p>
    <w:p w:rsidR="006178AA" w:rsidRDefault="003B27B6" w:rsidP="003B27B6">
      <w:pPr>
        <w:rPr>
          <w:rFonts w:hint="eastAsia"/>
        </w:rPr>
      </w:pPr>
      <w:r>
        <w:rPr>
          <w:rFonts w:hint="eastAsia"/>
        </w:rPr>
        <w:t>以定。</w:t>
      </w:r>
    </w:p>
    <w:p w:rsidR="003B27B6" w:rsidRDefault="003B27B6" w:rsidP="003B27B6">
      <w:pPr>
        <w:rPr>
          <w:rFonts w:hint="eastAsia"/>
        </w:rPr>
      </w:pPr>
    </w:p>
    <w:p w:rsidR="003B27B6" w:rsidRDefault="003B27B6" w:rsidP="003B27B6">
      <w:pPr>
        <w:rPr>
          <w:rFonts w:hint="eastAsia"/>
        </w:rPr>
      </w:pPr>
    </w:p>
    <w:p w:rsidR="003B27B6" w:rsidRDefault="003B27B6" w:rsidP="003B27B6">
      <w:pPr>
        <w:rPr>
          <w:rFonts w:hint="eastAsia"/>
        </w:rPr>
      </w:pPr>
      <w:r w:rsidRPr="003B27B6">
        <w:t>============================================</w:t>
      </w:r>
    </w:p>
    <w:p w:rsidR="003B27B6" w:rsidRPr="004F299D" w:rsidRDefault="004F299D" w:rsidP="004F299D">
      <w:pPr>
        <w:pStyle w:val="1"/>
        <w:spacing w:before="180" w:after="180" w:line="460" w:lineRule="exact"/>
        <w:jc w:val="both"/>
        <w:rPr>
          <w:rFonts w:ascii="標楷體" w:eastAsia="標楷體" w:hAnsi="標楷體" w:hint="eastAsia"/>
          <w:sz w:val="28"/>
          <w:szCs w:val="28"/>
          <w:bdr w:val="single" w:sz="4" w:space="0" w:color="auto"/>
        </w:rPr>
      </w:pPr>
      <w:r w:rsidRPr="003C7F13">
        <w:rPr>
          <w:rFonts w:ascii="標楷體" w:eastAsia="標楷體" w:hAnsi="標楷體" w:hint="eastAsia"/>
          <w:sz w:val="28"/>
          <w:szCs w:val="28"/>
          <w:bdr w:val="single" w:sz="4" w:space="0" w:color="auto"/>
        </w:rPr>
        <w:t>編號：</w:t>
      </w:r>
      <w:r>
        <w:rPr>
          <w:rFonts w:ascii="標楷體" w:eastAsia="標楷體" w:hAnsi="標楷體" w:hint="eastAsia"/>
          <w:sz w:val="28"/>
          <w:szCs w:val="28"/>
          <w:bdr w:val="single" w:sz="4" w:space="0" w:color="auto"/>
        </w:rPr>
        <w:t xml:space="preserve">6 </w:t>
      </w:r>
      <w:r w:rsidR="003B27B6">
        <w:rPr>
          <w:rFonts w:hint="eastAsia"/>
        </w:rPr>
        <w:t>家事事件</w:t>
      </w:r>
      <w:r w:rsidR="003B27B6" w:rsidRPr="003B27B6">
        <w:rPr>
          <w:rFonts w:hint="eastAsia"/>
        </w:rPr>
        <w:t>證據</w:t>
      </w:r>
      <w:r w:rsidR="003B27B6" w:rsidRPr="003B27B6">
        <w:rPr>
          <w:rFonts w:hint="eastAsia"/>
        </w:rPr>
        <w:t>保全</w:t>
      </w:r>
    </w:p>
    <w:p w:rsidR="003B27B6" w:rsidRDefault="003B27B6" w:rsidP="003B27B6">
      <w:pPr>
        <w:rPr>
          <w:rFonts w:hint="eastAsia"/>
        </w:rPr>
      </w:pPr>
    </w:p>
    <w:p w:rsidR="003B27B6" w:rsidRDefault="003B27B6" w:rsidP="003B27B6">
      <w:pPr>
        <w:rPr>
          <w:rFonts w:hint="eastAsia"/>
        </w:rPr>
      </w:pPr>
      <w:r w:rsidRPr="003B27B6">
        <w:rPr>
          <w:rFonts w:hint="eastAsia"/>
        </w:rPr>
        <w:t>臺灣高等法院</w:t>
      </w:r>
      <w:proofErr w:type="gramStart"/>
      <w:r w:rsidRPr="003B27B6">
        <w:rPr>
          <w:rFonts w:hint="eastAsia"/>
        </w:rPr>
        <w:t>102</w:t>
      </w:r>
      <w:proofErr w:type="gramEnd"/>
      <w:r w:rsidRPr="003B27B6">
        <w:rPr>
          <w:rFonts w:hint="eastAsia"/>
        </w:rPr>
        <w:t>年度家上字第</w:t>
      </w:r>
      <w:r w:rsidRPr="003B27B6">
        <w:rPr>
          <w:rFonts w:hint="eastAsia"/>
        </w:rPr>
        <w:t>269</w:t>
      </w:r>
      <w:r w:rsidRPr="003B27B6">
        <w:rPr>
          <w:rFonts w:hint="eastAsia"/>
        </w:rPr>
        <w:t>號</w:t>
      </w:r>
    </w:p>
    <w:p w:rsidR="003B27B6" w:rsidRDefault="003B27B6" w:rsidP="003B27B6">
      <w:pPr>
        <w:rPr>
          <w:rFonts w:hint="eastAsia"/>
        </w:rPr>
      </w:pPr>
      <w:r w:rsidRPr="003B27B6">
        <w:rPr>
          <w:rFonts w:hint="eastAsia"/>
        </w:rPr>
        <w:t>證據有滅失或礙難使用之虞，或經他造同意者，得向法院聲請保全；就確定事、物之現狀有法律上利益並有必要時，亦得聲請為鑑定、勘驗或保全書證，民事訴訟法第</w:t>
      </w:r>
      <w:r w:rsidRPr="003B27B6">
        <w:rPr>
          <w:rFonts w:hint="eastAsia"/>
        </w:rPr>
        <w:t>368</w:t>
      </w:r>
      <w:r w:rsidRPr="003B27B6">
        <w:rPr>
          <w:rFonts w:hint="eastAsia"/>
        </w:rPr>
        <w:t>條第</w:t>
      </w:r>
      <w:r w:rsidRPr="003B27B6">
        <w:rPr>
          <w:rFonts w:hint="eastAsia"/>
        </w:rPr>
        <w:t>1</w:t>
      </w:r>
      <w:r w:rsidRPr="003B27B6">
        <w:rPr>
          <w:rFonts w:hint="eastAsia"/>
        </w:rPr>
        <w:t>項定有明文，依家事事件法第</w:t>
      </w:r>
      <w:r w:rsidRPr="003B27B6">
        <w:rPr>
          <w:rFonts w:hint="eastAsia"/>
        </w:rPr>
        <w:t>51</w:t>
      </w:r>
      <w:r w:rsidRPr="003B27B6">
        <w:rPr>
          <w:rFonts w:hint="eastAsia"/>
        </w:rPr>
        <w:t>條，此於家事訴訟事件</w:t>
      </w:r>
      <w:proofErr w:type="gramStart"/>
      <w:r w:rsidRPr="003B27B6">
        <w:rPr>
          <w:rFonts w:hint="eastAsia"/>
        </w:rPr>
        <w:t>準</w:t>
      </w:r>
      <w:proofErr w:type="gramEnd"/>
      <w:r w:rsidRPr="003B27B6">
        <w:rPr>
          <w:rFonts w:hint="eastAsia"/>
        </w:rPr>
        <w:t>用之。是聲請保全證據，非必以徵得他造同意為要件，亦不以他方有接受鑑定或負有證據提出義務為前提，倘符合證據有滅失或礙難使用之虞，亦即供為證據之材料本體，有消失之危險，或證據</w:t>
      </w:r>
      <w:proofErr w:type="gramStart"/>
      <w:r w:rsidRPr="003B27B6">
        <w:rPr>
          <w:rFonts w:hint="eastAsia"/>
        </w:rPr>
        <w:t>雖未滅失</w:t>
      </w:r>
      <w:proofErr w:type="gramEnd"/>
      <w:r w:rsidRPr="003B27B6">
        <w:rPr>
          <w:rFonts w:hint="eastAsia"/>
        </w:rPr>
        <w:t>，而因其他客觀情事，致有不及調查之危險時，即得為之。</w:t>
      </w:r>
    </w:p>
    <w:p w:rsidR="003B27B6" w:rsidRDefault="003B27B6" w:rsidP="003B27B6"/>
    <w:sectPr w:rsidR="003B27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B6"/>
    <w:rsid w:val="003B27B6"/>
    <w:rsid w:val="0044465E"/>
    <w:rsid w:val="004F299D"/>
    <w:rsid w:val="00CB754B"/>
    <w:rsid w:val="00DF6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4F299D"/>
    <w:pPr>
      <w:keepNext/>
      <w:jc w:val="center"/>
      <w:outlineLvl w:val="0"/>
    </w:pPr>
    <w:rPr>
      <w:rFonts w:ascii="Arial" w:eastAsia="華康中黑體" w:hAnsi="Arial" w:cs="Times New Roman"/>
      <w:b/>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F299D"/>
    <w:rPr>
      <w:rFonts w:ascii="Arial" w:eastAsia="華康中黑體" w:hAnsi="Arial" w:cs="Times New Roman"/>
      <w:b/>
      <w:sz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4F299D"/>
    <w:pPr>
      <w:keepNext/>
      <w:jc w:val="center"/>
      <w:outlineLvl w:val="0"/>
    </w:pPr>
    <w:rPr>
      <w:rFonts w:ascii="Arial" w:eastAsia="華康中黑體" w:hAnsi="Arial" w:cs="Times New Roman"/>
      <w:b/>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F299D"/>
    <w:rPr>
      <w:rFonts w:ascii="Arial" w:eastAsia="華康中黑體" w:hAnsi="Arial" w:cs="Times New Roman"/>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5</cp:revision>
  <dcterms:created xsi:type="dcterms:W3CDTF">2017-10-16T06:13:00Z</dcterms:created>
  <dcterms:modified xsi:type="dcterms:W3CDTF">2017-10-16T07:13:00Z</dcterms:modified>
</cp:coreProperties>
</file>